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31D3B" w:rsidRDefault="00F31D3B">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Титульний аркуш</w:t>
      </w:r>
    </w:p>
    <w:p w:rsidR="00F31D3B" w:rsidRDefault="00F31D3B">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500"/>
      </w:tblGrid>
      <w:tr w:rsidR="00F31D3B">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21.12.2023</w:t>
            </w:r>
          </w:p>
        </w:tc>
      </w:tr>
      <w:tr w:rsidR="00F31D3B">
        <w:tblPrEx>
          <w:tblCellMar>
            <w:top w:w="0" w:type="dxa"/>
            <w:bottom w:w="0" w:type="dxa"/>
          </w:tblCellMar>
        </w:tblPrEx>
        <w:trPr>
          <w:trHeight w:val="300"/>
        </w:trPr>
        <w:tc>
          <w:tcPr>
            <w:tcW w:w="55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(дата реєстрації емітентом електронного документа)</w:t>
            </w:r>
          </w:p>
        </w:tc>
      </w:tr>
      <w:tr w:rsidR="00F31D3B">
        <w:tblPrEx>
          <w:tblCellMar>
            <w:top w:w="0" w:type="dxa"/>
            <w:bottom w:w="0" w:type="dxa"/>
          </w:tblCellMar>
        </w:tblPrEx>
        <w:trPr>
          <w:trHeight w:val="300"/>
        </w:trPr>
        <w:tc>
          <w:tcPr>
            <w:tcW w:w="5500" w:type="dxa"/>
            <w:tcBorders>
              <w:top w:val="nil"/>
              <w:left w:val="nil"/>
              <w:bottom w:val="single" w:sz="6" w:space="0" w:color="auto"/>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4</w:t>
            </w:r>
          </w:p>
        </w:tc>
      </w:tr>
      <w:tr w:rsidR="00F31D3B">
        <w:tblPrEx>
          <w:tblCellMar>
            <w:top w:w="0" w:type="dxa"/>
            <w:bottom w:w="0" w:type="dxa"/>
          </w:tblCellMar>
        </w:tblPrEx>
        <w:trPr>
          <w:trHeight w:val="300"/>
        </w:trPr>
        <w:tc>
          <w:tcPr>
            <w:tcW w:w="55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(вихідний реєстраційний номер електронного документа)</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0"/>
          <w:szCs w:val="20"/>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0"/>
          <w:szCs w:val="20"/>
        </w:rPr>
        <w:tab/>
      </w:r>
      <w:r>
        <w:rPr>
          <w:rFonts w:ascii="Times New Roman CYR" w:hAnsi="Times New Roman CYR" w:cs="Times New Roman CYR"/>
          <w:sz w:val="24"/>
          <w:szCs w:val="24"/>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затвердженого рішенням Національної комісії з цінних паперів та фондового ринку від 03 грудня 2013 року № 2826, зареєстрованого в Міністерстві юстиції України 24 грудня 2013 року за № 2180/24712 (із змінами) (далі - Положення).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640"/>
        <w:gridCol w:w="236"/>
        <w:gridCol w:w="1354"/>
        <w:gridCol w:w="236"/>
        <w:gridCol w:w="4654"/>
      </w:tblGrid>
      <w:tr w:rsidR="00F31D3B">
        <w:tblPrEx>
          <w:tblCellMar>
            <w:top w:w="0" w:type="dxa"/>
            <w:bottom w:w="0" w:type="dxa"/>
          </w:tblCellMar>
        </w:tblPrEx>
        <w:trPr>
          <w:trHeight w:val="200"/>
        </w:trPr>
        <w:tc>
          <w:tcPr>
            <w:tcW w:w="3640" w:type="dxa"/>
            <w:tcBorders>
              <w:top w:val="nil"/>
              <w:left w:val="nil"/>
              <w:bottom w:val="single" w:sz="6" w:space="0" w:color="auto"/>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w:t>
            </w:r>
          </w:p>
        </w:tc>
        <w:tc>
          <w:tcPr>
            <w:tcW w:w="216" w:type="dxa"/>
            <w:tcBorders>
              <w:top w:val="nil"/>
              <w:left w:val="nil"/>
              <w:bottom w:val="nil"/>
              <w:right w:val="nil"/>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354" w:type="dxa"/>
            <w:tcBorders>
              <w:top w:val="nil"/>
              <w:left w:val="nil"/>
              <w:bottom w:val="single" w:sz="6" w:space="0" w:color="auto"/>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16" w:type="dxa"/>
            <w:tcBorders>
              <w:top w:val="nil"/>
              <w:left w:val="nil"/>
              <w:bottom w:val="nil"/>
              <w:right w:val="nil"/>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4654" w:type="dxa"/>
            <w:tcBorders>
              <w:top w:val="nil"/>
              <w:left w:val="nil"/>
              <w:bottom w:val="single" w:sz="6" w:space="0" w:color="auto"/>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Антоняк Володимир Михайлович</w:t>
            </w:r>
          </w:p>
        </w:tc>
      </w:tr>
      <w:tr w:rsidR="00F31D3B">
        <w:tblPrEx>
          <w:tblCellMar>
            <w:top w:w="0" w:type="dxa"/>
            <w:bottom w:w="0" w:type="dxa"/>
          </w:tblCellMar>
        </w:tblPrEx>
        <w:trPr>
          <w:trHeight w:val="200"/>
        </w:trPr>
        <w:tc>
          <w:tcPr>
            <w:tcW w:w="3640" w:type="dxa"/>
            <w:tcBorders>
              <w:top w:val="nil"/>
              <w:left w:val="nil"/>
              <w:bottom w:val="nil"/>
              <w:right w:val="nil"/>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(посада)</w:t>
            </w:r>
          </w:p>
        </w:tc>
        <w:tc>
          <w:tcPr>
            <w:tcW w:w="216" w:type="dxa"/>
            <w:tcBorders>
              <w:top w:val="nil"/>
              <w:left w:val="nil"/>
              <w:bottom w:val="nil"/>
              <w:right w:val="nil"/>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1354" w:type="dxa"/>
            <w:tcBorders>
              <w:top w:val="nil"/>
              <w:left w:val="nil"/>
              <w:bottom w:val="nil"/>
              <w:right w:val="nil"/>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(підпис)</w:t>
            </w:r>
          </w:p>
        </w:tc>
        <w:tc>
          <w:tcPr>
            <w:tcW w:w="216" w:type="dxa"/>
            <w:tcBorders>
              <w:top w:val="nil"/>
              <w:left w:val="nil"/>
              <w:bottom w:val="nil"/>
              <w:right w:val="nil"/>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p>
        </w:tc>
        <w:tc>
          <w:tcPr>
            <w:tcW w:w="4654" w:type="dxa"/>
            <w:tcBorders>
              <w:top w:val="nil"/>
              <w:left w:val="nil"/>
              <w:bottom w:val="nil"/>
              <w:right w:val="nil"/>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(прізвище та ініціали керівника або уповноваженої особи емітента)</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0"/>
          <w:szCs w:val="20"/>
        </w:r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Річна інформація емітента цінних паперів за 2022 рік</w:t>
      </w: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 Загальні відомості</w:t>
      </w: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Повне найменування емітента: Приватне акцiонерне товариство "Сяйво"</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Організаційно-правова форма: Акціонерне товариство</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Ідентифікаційний код юридичної особи: 21750308</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Місцезнаходження: 43017, Україна, Волинська обл., - р-н, м.Луцьк, вул. Мамсурова, 12Г</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Міжміський код, телефон та факс: (0332) 20-07-50, (0332) 20-07-50</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Адреса електронної пошти: saivo.ua@ukr.net</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Дата та рішення наглядової ради емітента, яким затверджено річну інформацію, або дата та рішення загальних зборів акціонерів, яким затверджено річну інформацію емітента (за наявності): Рішення наглядової ради емітента від 27.01.2023, "Затвердити рiчний звiт емiтента за 2022 рiк"</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8.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діяльність з оприлюднення регульованої інформації від імені учасника фондового ринку (у разі здійснення оприлюднення): </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9.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фондовому ринку, особи, яка здійснює подання звітності та/або адміністративних даних до Національної комісії з цінних паперів та фондового ринку (у разі, якщо емітент не подає Інформацію до Національної комісії з цінних паперів та фондового ринку безпосередньо): Державна установа "Агентство з розвитку iнфраструктури фондового ринку України", 21676262, Україна, DR/00002/ARM</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II. Дані про дату та місце оприлюднення річної інформації</w:t>
      </w: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450"/>
        <w:gridCol w:w="4130"/>
        <w:gridCol w:w="1500"/>
      </w:tblGrid>
      <w:tr w:rsidR="00F31D3B">
        <w:tblPrEx>
          <w:tblCellMar>
            <w:top w:w="0" w:type="dxa"/>
            <w:bottom w:w="0" w:type="dxa"/>
          </w:tblCellMar>
        </w:tblPrEx>
        <w:trPr>
          <w:trHeight w:val="300"/>
        </w:trPr>
        <w:tc>
          <w:tcPr>
            <w:tcW w:w="4450" w:type="dxa"/>
            <w:vMerge w:val="restart"/>
            <w:tcBorders>
              <w:top w:val="nil"/>
              <w:left w:val="nil"/>
              <w:bottom w:val="nil"/>
              <w:right w:val="nil"/>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Річну інформацію розміщено на власному веб-сайті учасника фондового ринку</w:t>
            </w:r>
          </w:p>
        </w:tc>
        <w:tc>
          <w:tcPr>
            <w:tcW w:w="4130" w:type="dxa"/>
            <w:tcBorders>
              <w:top w:val="nil"/>
              <w:left w:val="nil"/>
              <w:bottom w:val="single" w:sz="6" w:space="0" w:color="auto"/>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https://saivo.com.ua/akcioneram/</w:t>
            </w:r>
          </w:p>
        </w:tc>
        <w:tc>
          <w:tcPr>
            <w:tcW w:w="1500" w:type="dxa"/>
            <w:tcBorders>
              <w:top w:val="nil"/>
              <w:left w:val="nil"/>
              <w:bottom w:val="single" w:sz="6" w:space="0" w:color="auto"/>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21.12.2023</w:t>
            </w:r>
          </w:p>
        </w:tc>
      </w:tr>
      <w:tr w:rsidR="00F31D3B">
        <w:tblPrEx>
          <w:tblCellMar>
            <w:top w:w="0" w:type="dxa"/>
            <w:bottom w:w="0" w:type="dxa"/>
          </w:tblCellMar>
        </w:tblPrEx>
        <w:trPr>
          <w:trHeight w:val="300"/>
        </w:trPr>
        <w:tc>
          <w:tcPr>
            <w:tcW w:w="4450" w:type="dxa"/>
            <w:vMerge/>
            <w:tcBorders>
              <w:top w:val="nil"/>
              <w:left w:val="nil"/>
              <w:bottom w:val="nil"/>
              <w:right w:val="nil"/>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0"/>
                <w:szCs w:val="20"/>
              </w:rPr>
            </w:pPr>
          </w:p>
        </w:tc>
        <w:tc>
          <w:tcPr>
            <w:tcW w:w="413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(URL-адреса сторінки)</w:t>
            </w:r>
          </w:p>
        </w:tc>
        <w:tc>
          <w:tcPr>
            <w:tcW w:w="15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(дата)</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0"/>
          <w:szCs w:val="20"/>
        </w:rPr>
        <w:sectPr w:rsidR="00F31D3B">
          <w:pgSz w:w="12240" w:h="15840"/>
          <w:pgMar w:top="850" w:right="850" w:bottom="850" w:left="1400" w:header="708" w:footer="708" w:gutter="0"/>
          <w:cols w:space="720"/>
          <w:noEndnote/>
        </w:sect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lastRenderedPageBreak/>
        <w:t>Зміст</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8"/>
          <w:szCs w:val="28"/>
        </w:rPr>
        <w:tab/>
      </w:r>
      <w:r>
        <w:rPr>
          <w:rFonts w:ascii="Times New Roman CYR" w:hAnsi="Times New Roman CYR" w:cs="Times New Roman CYR"/>
          <w:sz w:val="24"/>
          <w:szCs w:val="24"/>
        </w:rPr>
        <w:t>Відмітьте (Х), якщо відповідна інформація міститься у річній інформації</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9000"/>
        <w:gridCol w:w="1000"/>
      </w:tblGrid>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Основні відомості про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одержані ліцензії (дозволи) на окремі види діяльності</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Відомості про участь емітента в інших юридичних особах</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щодо корпоративного секретаря</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Інформація про рейтингове агентство</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Інформація про наявність філіалів або інших відокремлених структурних підрозділів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 Судові справи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8. Штрафні санкції щодо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9. Опис бізнесу</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10. Інформація про органи управління емітента, його посадових осіб, засновників та/або учасників емітента та відсоток їх акцій (часток, паїв)</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органи управління</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посадових осіб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щодо освіти та стажу роботи посадових осіб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володіння посадовими особами емітента акціями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будь-які винагороди або компенсації, які мають бути виплачені посадовим особам емітента в разі їх звільнення</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засновників та/або учасників емітента, відсоток акцій (часток, паїв)</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11. Звіт керівництва (звіт про управління)</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вірогідні перспективи подальшого розвитку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розвиток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завдання та політика емітента щодо управління фінансовими ризиками, у тому числі політика щодо страхування кожного основного виду прогнозованої операції, для якої використовуються операції хеджування</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схильність емітента до цінових ризиків, кредитного ризику, ризику ліквідності та/або ризику грошових потоків</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звіт про корпоративне управління</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власний кодекс корпоративного управління, яким керується емітент</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практику корпоративного управління, застосовувану понад визначені законодавством вимоги</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проведені загальні збори акціонерів (учасників)</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наглядову раду</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виконавчий орган</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опис основних характеристик систем внутрішнього контролю і управління ризиками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перелік осіб, які прямо або опосередковано є власниками значного пакета акцій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інформація про будь-які обмеження прав участі та голосування акціонерів (учасників) на загальних зборах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порядок призначення та звільнення посадових осіб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повноваження посадових осіб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12. Інформація про власників пакетів 5 і більше відсотків акцій із зазначенням відсотка, кількості, типу та/або класу належних їм акцій</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13. Інформація про зміну акціонерів, яким належать голосуючі акції, розмір пакета яких стає більшим, меншим або рівним пороговому значенню пакета акцій</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14. Інформація про зміну осіб, яким належить право голосу за акціями, сумарна кількість прав за якими стає більшою, меншою або рівною пороговому значенню пакета акцій</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15. Інформація про зміну осіб, які є власниками фінансових інструментів, пов'язаних з голосуючими акціями акціонерного товариства, сумарна кількість прав за якими стає більшою, меншою або рівною пороговому значенню пакета акцій</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16. Інформація про структуру капіталу, в тому числі із зазначенням типів та класів акцій, а також прав та обов'язків акціонерів (учасників)</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17. Інформація про цінні папери емітента (вид, форма випуску, тип, кількість), наявність публічної пропозиції та/або допуску до торгів на фондовій біржі в частині включення до біржового реєстру</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випуски акцій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про облігації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інші цінні папери, випущені емітентом</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про похідні цінні папери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інформація про забезпечення випуску боргових цінних паперів</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інформація про придбання власних акцій емітентом протягом звітного періоду</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18. Звіт про стан об'єкта нерухомості (у разі емісії цільових облігацій підприємств, виконання зобов'язань за якими здійснюється шляхом передання об'єкта (частини об'єкта) житлового будівництва)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19. Інформація про наявність у власності працівників емітента цінних паперів (крім акцій) такого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20. Інформація про наявність у власності працівників емітента акцій у розмірі понад 0,1 відсотка розміру статутного капіталу такого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21. Інформація про будь-які обмеження щодо обігу цінних паперів емітента, в тому числі необхідність отримання від емітента або інших власників цінних паперів згоди на відчуження таких цінних паперів</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22.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23. Інформація про виплату дивідендів та інших доходів за цінними паперами</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24. Інформація про господарську та фінансову діяльність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основні засоби емітента (за залишковою вартістю)</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щодо вартості чистих активів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зобов'язання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інформація про обсяги виробництва та реалізації основних видів продукції</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інформація про собівартість реалізованої продукції</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інформація про осіб, послугами яких користується емітент</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25. Інформація про прийняття рішення про попереднє надання згоди на вчинення значних правочинів</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26. Інформація про вчинення значних правочинів</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27. Інформація про вчинення правочинів, щодо вчинення яких є заінтересованість</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28. Інформація про осіб, заінтересованих у вчиненні товариством правочинів із заінтересованістю, та обставини, існування яких створює заінтересованість</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29. Річна фінансова звітність</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30. Відомості про аудиторський звіт незалежного аудитора, наданий за результатами аудиту фінансової звітності емітента аудитором (аудиторською фірмою)</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31. Річна фінансова звітність поручителя (страховика/гаранта), що здійснює забезпечення випуску боргових цінних паперів (за кожним суб'єктом забезпечення окремо)</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32. Твердження щодо річної інформації</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33. Інформація про акціонерні або корпоративні договори, укладені акціонерами (учасниками) такого емітента, яка наявна в емітента</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34. Інформація про будь-які договори та/або правочини, умовою чинності яких є незмінність осіб, які здійснюють контроль над емітентом</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35. Відомості щодо особливої інформації та інформації про іпотечні цінні папери, що виникала протягом звітного періоду</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36. Інформація про випуски іпотечних облігацій</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37. Інформація про склад, структуру і розмір іпотечного покриття</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інформація про розмір іпотечного покриття та його співвідношення з розміром (сумою) зобов'язань за іпотечними облігаціями з цим іпотечним покриттям</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інформація щодо співвідношення розміру іпотечного покриття з розміром (сумою) зобов'язань за іпотечними облігаціями з цим іпотечним покриттям на кожну дату після змін іпотечних активів у складі іпотечного покриття, які відбулися протягом звітного періоду</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інформація про заміни іпотечних активів у складі іпотечного покриття або включення нових іпотечних активів до складу іпотечного покриття</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відомості про структуру іпотечного покриття іпотечних облігацій за видами іпотечних активів та інших активів на кінець звітного періоду</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відомості щодо підстав виникнення у емітента іпотечних облігацій прав на іпотечні активи, які складають іпотечне покриття станом на кінець звітного року</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38. Інформація про наявність прострочених боржником строків сплати чергових платежів за кредитними договорами (договорами позики), права вимоги за якими забезпечено іпотеками, які включено до складу іпотечного покриття</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39. Інформація про випуски іпотечних сертифікатів</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40. Інформація щодо реєстру іпотечних активів</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41. Основні відомості про ФОН</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42. Інформація про випуски сертифікатів ФОН</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43. Інформація про осіб, що володіють сертифікатами ФОН</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44. Розрахунок вартості чистих активів ФОН</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9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45. Правила ФОН</w:t>
            </w:r>
          </w:p>
        </w:tc>
        <w:tc>
          <w:tcPr>
            <w:tcW w:w="1000" w:type="dxa"/>
            <w:tcBorders>
              <w:top w:val="nil"/>
              <w:left w:val="nil"/>
              <w:bottom w:val="nil"/>
              <w:right w:val="nil"/>
            </w:tcBorders>
            <w:vAlign w:val="bottom"/>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10000" w:type="dxa"/>
            <w:gridSpan w:val="2"/>
            <w:tcBorders>
              <w:top w:val="nil"/>
              <w:left w:val="nil"/>
              <w:bottom w:val="nil"/>
              <w:right w:val="nil"/>
            </w:tcBorders>
            <w:vAlign w:val="bottom"/>
          </w:tcPr>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46. Примітки: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До складу регулярної рiчної iнформацiї не включенi наступнi форми по причинi: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одержанi лiцензiї (дозволи) на окремi види дiяльностi" - емiтент не здiйснює дiяльностi, яка портебує лiцензiювання;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"Вiдомостi щодо участi емiтента в створеннi юридичних осiб "  -емiтент не приймав участi у створенi iнших юридичних осiб;</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корпоративного секретаря" - за звiтний перiод корпоративний секретар Товариством не обирався;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рейтингове агентство" - за звiтний перiод емiтент не користувався послугами рейтингових агенцiй, в зв'язку з тим, що товариство не має стратегiчного значення для економiки та безпеки держави та не займає монопольне (домiнуюче) становище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наявнiсть фiлiалiв або iнших вiдокремлених структурних пiдроздiлiв" - фiлiали та вiдокремленi структурнi пiдроздiли вiдсутнi.</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"Судовi справи емiтента" - вiдсутнi;</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"Штрафнi санкцiї емiтента" - вiдсутнi;</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засновникiв та/або учасникiв емiтента" оскiльки засновником товариства був ФДМУ, який у звiтному перiодi акцiями твариства не володiв;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"Iнформацiя про змiну акцiонерiв, яким яким належать голосуючi акцiї, розмiр пакета яких стає бiльшим, меншим або рiвним пороговому значенню" - такi змiни в звiтному роцi не вiдбувалися.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дивiденди" - за звiтний та за попереднiй перiод дивiденди не нараховувалися та не сплачувалися.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забезпечення випуску боргових цiнних паперiв" - емiтент не випускав борговi цiннi папери.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облiгацiї емiтента" - у емiтента випусив облiгацiй не реєструвалися.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"Iнформацiя про iншi цiннi папери, випущенi емiтентом" - у емiтента iншi цiннi папери не реєструвалося.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похiднi цiннi папери" - у емiтента похiднi цiннi папери не реєструвались.</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викуп власних акцiй протягом звiтного перiоду" - за звiтний перiод викупу власних акцiй не вiдбувалося.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"iнформацiю про наявнiсть у власностi працiвникiв емiтента цiнних паперiв (крiм акцiй) такого емiтента - у власностi працiвникiв  iнших цiнних паперiв крiм акцiйнемає.</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обмеження щодо обiгу цiнних паперiв емiтента, в тому числi необхiднiсть отримання вiд емiтента або iнших власникiв цiнних паперiв згоди на вiдчуження таких цiнних паперiв" - вiдсутнi такi обмеження.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обсяги виробництва та реалiзацiї основних видiв продукцiї" - не обов'язкова для заповнення емiтентами, вид дiяльностi по класифiкатору яких не вiдноситься до переробної, добувної промисловостi тощо.</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собiвартiсть реалiзованої продукцiї" - не обов'язкова для заповнення емiтентами, вид дiяльностi яких по класифiкатору не вiдноситься до переробної, добувної промисловостi тощо.</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"Рiчна фiнансова звiтнiсть емiтента, яка складена вiдповiдно до МСБО" - за звiтний перiод емiтент не складав звiтнiсть вiдповiдно до МСБО.</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випуски iпотечних облiгацiй" - за звiтний перiод емiтент не випускав iпотечних цiнних паперiв,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прийняття рiшення про надання згоди на вчинення значних правочинiв" у товариства за звiтнiй перiод дана iнформацiя вiдсутня оскiльки дане рiшення не приймалось.</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"Iнформацiя про прийняття рiшення про надання згоди на вчинення правочинiв, щодо вчинення яких є заiнтересованiсть" у товариства за звiтнiй перiод дана iнформацiя вiдсутня оскiльки дане рiшення не приймалось.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корпоративнi договори, укладенi акцiонерами (учасниками) такого емiтента, яка наявна в емiтента" - За iнформацiєю, якою володiє Товариство, корпоративних договорiв, укладених акцiонерами (учасниками) емiтента немає</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будь-якi договори та/або правочини, умовою чинностi яких є незмiннiсть осiб, якi здiйснюють контроль над емiтентом" -  Будь-яких договорiв та/або правочинiв, умовою чинностi яких є незмiннiсть осiб, якi здiйснюють контроль над емiтентом нем</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"Iнформацiя про придбання власних акцiй емiтентом" -  Протягом звiтного перiоду власних акцiй Товариство не придбавало i не реалiзовувало</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"Вiдомостi про аудиторський звiт незалежного аудитора, наданий за результатами аудиту фiнансової звiтностi емiтента аудитором (аудиторською фiрмою)" -аудиторський звiт не готувавчя.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"Вiдомостi щодо особливої iнформацiї та iнформацiї про iпотечнi цiннi папери, що виникала протягом звiтного перiоду" - в звiтному перiодi така iнформацiя не виникала</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sectPr w:rsidR="00F31D3B">
          <w:pgSz w:w="12240" w:h="15840"/>
          <w:pgMar w:top="850" w:right="850" w:bottom="850" w:left="1400" w:header="708" w:footer="708" w:gutter="0"/>
          <w:cols w:space="720"/>
          <w:noEndnote/>
        </w:sect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ІІІ. Основні відомості про емітента</w:t>
      </w: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 Повне найменування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Приватне акцiонерне товариство "Сяйво"</w:t>
      </w: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2. Скорочене найменування (за наявності)</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ПрАТ "Сяйво"</w:t>
      </w: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3. Дата проведення державної реєстрації</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15.01.1997</w:t>
      </w: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4. Територія (область)</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Волинська обл.</w:t>
      </w: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5. Статутний капітал (грн) </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173750</w:t>
      </w: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6. Відсоток акцій у статутному капіталі, що належать державі</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7. Відсоток акцій (часток, паїв) статутного капіталу, що передано до статутного капіталу державного (національного) акціонерного товариства та/або холдингової компанії</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0</w:t>
      </w: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8. Середня кількість працівників (осіб)</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29</w:t>
      </w: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9. Основні види діяльності із зазначенням найменування виду діяльності та коду за КВЕД</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25.72 - Виробництво замкiв  i дверних петель</w:t>
      </w: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10. Банки, що обслуговують емітента</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 найменування банку (філії, відділення банку), який обслуговує емітента за поточним рахунком у національній валюті</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УКРСИББАНК АКIБ м.ХАРКIВ, МФО 351005</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 IBAN</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UA663510050000026000284134100</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 поточний рахунок</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UA663510050000026000284134100</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4) найменування банку (філії, відділення банку), який обслуговує емітента за поточним рахунком у іноземній валюті</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 МФО -</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5) IBAN</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6) поточний рахунок</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ab/>
        <w:t>-</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XI. Опис бізнесу</w:t>
      </w: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Зміни в організаційній структурі відповідно до попередніх звітних періодів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Змiни в органiзацiйнiй структурi в звiтному роцi не вiдбувалося.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Cередньооблікова чисельність штатних працівників облікового складу (осіб), середня чисельність позаштатних працівників та осіб, які працюють за сумісництвом (осіб), чисельність працівників, які працюють на умовах неповного робочого часу (дня, тижня) (осіб), фонду оплати праці. Крім того, зазначаються факти зміни розміру фонду оплати праці, його збільшення або зменшення відносно попереднього року. Зазначається кадрова програма емітента, спрямована на забезпечення рівня кваліфікації її працівників операційним потребам емітента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Середньооблiкова чисельнiсть штатних працiвникiв облiкового складу -  29 осiб, середня чисельнiсть позаштатних працiвникiв та осiб , якi працюють за сумiсництвом - немає, </w:t>
      </w:r>
      <w:r>
        <w:rPr>
          <w:rFonts w:ascii="Times New Roman CYR" w:hAnsi="Times New Roman CYR" w:cs="Times New Roman CYR"/>
          <w:sz w:val="24"/>
          <w:szCs w:val="24"/>
        </w:rPr>
        <w:lastRenderedPageBreak/>
        <w:t>чисельнiсть працiвникiв , якi працюють на умовах неповного робочого часу (дня, тижня) - немає, фонд оплати працi - 1 700 800грн. в рiк.  Розмiр фонду оплати працi вiдносно попереднього року знизився на  суму 630 800грн , фактом змiни розмiру фонду оплати працi став початок повномасштабного вторгнення Росii та мобiлiзацiя працiвникiв.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Кадрова програма  пiдприємства спрямована на забезпечення  виробництва квалiфiкованими працiвниками та постiйного пiдвищення рiвня  їх квалiфiкацiї.</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Належність емітента до будь-яких об'єднань підприємств, найменування та місцезнаходження об'єднання,  зазначаються опис діяльності об'єднання, функції та термін участі емітента у відповідному об'єднанні, позиції емітента в структурі об'єднання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не належить до будь-яких об'єднань пiдприємств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Cпільна діяльність, яку емітент проводить з іншими організаціями, підприємствами, установами, при цьому вказуються сума вкладів, мета вкладів (отримання прибутку, інші цілі) та отриманий фінансовий результат за звітний рік по кожному виду спільної діяльності</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Спiльної дiяльностi з iншими пiдприємствами не проводиться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Будь-які пропозиції щодо реорганізації з боку третіх осіб, що мали місце протягом звітного періоду, умови та результати цих пропозицій</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Пропозицiї щодо реорганiзацiї збоку третiх осiб протягом звiтного перiоду не надходили.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Опис обраної облікової політики (метод нарахування амортизації, метод оцінки вартості запасів, метод обліку та оцінки вартості фінансових інвестицій тощо)</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Фiнансова звiтнiсть пiдприємства ведеться у вiдповiдальностi до П(С)БО, затвержених Мiнiстерством Фiнансiв України.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Прийнятою облiковою полiтикою встановленi такi методи облiку та принципи оцiнки активiв та зобов'язань: - облiковувати необоротнi активи тiльки за первiсною вартiстю без урахування зменшення корисностi та переоцiнки до справедливої вартостi; - амортизацiю об'єктiв основних засобiв нараховувати прямолiнiйним методом. Термiн корисного використання об'єктiв ОЗ встановлюється комiсiєю, затвердженою наказом по пiдприємству, але не нижче мiнiмально допустимих термiнiв, встановлених ст.145 ПКУ. Наказом про облiкову полiтику лiквiдацiйна вартiсть об'єктiв основних засобiв прийнято за нуль; - амортизацiю малоцiнних необоротних матерiальних активiв нараховувати у першому мiсяцi їх використання в розмiрi 100% їх вартостi; - амортизацiю нематерiальних активiв нараховувати прямолiнiйним способом; - методом оцiнки руху запасiв є метод фактичної собiвартостi. Одиницею запасiв рахується їх найменування. - при вiдпуску малоцiнних та швидкозношуваних предметiв в експлуатацiю, їх вартiсть списується з балансу з подальшою органiзацiєю оперативного кiлькiсного облiку таких предметiв за мiсцями експлуатацiї та вiдповiдними особами протягом строку їх фактичного використання; - не створювати забезпечення наступних витрат i платежiв; - резерв сумнiвних боргiв визначати; - поточну дебiторську заборгованiсть включати до пiдсумку балансу за її фактичною сумою; - поточнi зобов'язання вiдображаються в балансi за сумою погашення; - проводити нарахування Витрат майбутнiх перiодiв та Доходiв майбутнiх перiодiв при їх виникненнi; - доходи та витрати вiдображати у звiтному перiодi на основi принципу </w:t>
      </w:r>
      <w:r>
        <w:rPr>
          <w:rFonts w:ascii="Times New Roman CYR" w:hAnsi="Times New Roman CYR" w:cs="Times New Roman CYR"/>
          <w:sz w:val="24"/>
          <w:szCs w:val="24"/>
        </w:rPr>
        <w:lastRenderedPageBreak/>
        <w:t>нарахування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Основні види продукції або послуг, що їх виробляє чи надає емітент, за рахунок продажу яких емітент отримав 10 або більше відсотків доходу за звітний рік, у тому числі обсяги виробництва (у натуральному та грошовому виразі), середньо реалізаційні ціни, суму виручки, окремо надається інформація про загальну суму експорту, а також частку експорту в загальному обсязі продажів, перспективність виробництва окремих товарів, виконання робіт та надання послуг; залежність від сезонних змін; про основні ринки збуту та основних клієнтів; основні ризики в діяльності емітента, заходи емітента щодо зменшення ризиків, захисту своєї діяльності та розширення виробництва та ринків збуту; про канали збуту й методи продажу, які використовує емітент; про джерела сировини, їх доступність та динаміку цін; інформацію про особливості стану розвитку галузі виробництва, в якій здійснює діяльність емітент, рівень впровадження нових технологій, нових товарів, його становище на ринку; інформацію про конкуренцію в галузі, про особливості продукції (послуг) емітента; перспективні плани розвитку емітента; кількість постачальників за основними видами сировини та матеріалів, що займають більше 10 відсотків у загальному обсязі постачання, у разі якщо емітент здійснює свою діяльність у декількох країнах, необхідно зазначити ті країни, у яких емітентом отримано 10 або більше відсотків від загальної суми доходів за звітний рік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Основною продукцiєю є металовироби. В </w:t>
      </w:r>
      <w:r w:rsidR="00BE5993">
        <w:rPr>
          <w:rFonts w:ascii="Times New Roman CYR" w:hAnsi="Times New Roman CYR" w:cs="Times New Roman CYR"/>
          <w:sz w:val="24"/>
          <w:szCs w:val="24"/>
        </w:rPr>
        <w:t xml:space="preserve">звітному </w:t>
      </w:r>
      <w:r>
        <w:rPr>
          <w:rFonts w:ascii="Times New Roman CYR" w:hAnsi="Times New Roman CYR" w:cs="Times New Roman CYR"/>
          <w:sz w:val="24"/>
          <w:szCs w:val="24"/>
        </w:rPr>
        <w:t>роцi вироблено  металовиробiв та надано послуг з механiчного обробляння металiв, на суму - 13 500,1</w:t>
      </w:r>
      <w:r w:rsidR="00BE5993">
        <w:rPr>
          <w:rFonts w:ascii="Times New Roman CYR" w:hAnsi="Times New Roman CYR" w:cs="Times New Roman CYR"/>
          <w:sz w:val="24"/>
          <w:szCs w:val="24"/>
        </w:rPr>
        <w:t>тис.</w:t>
      </w:r>
      <w:r>
        <w:rPr>
          <w:rFonts w:ascii="Times New Roman CYR" w:hAnsi="Times New Roman CYR" w:cs="Times New Roman CYR"/>
          <w:sz w:val="24"/>
          <w:szCs w:val="24"/>
        </w:rPr>
        <w:t>грн. (без ПДВ). Реалiзовано  на суму  13065,2тис.грн. (без ПДВ). Експортних контрактiв пiдприємство не має, вся продукцiя реалiзовується на територiї  України. Сезонна залежнiсть виробництва присутня,  продукцiя в основному використовується для будiвництва (водостiчнi та каналiзацiйнi системи, крiплення)  або розмiщення на вулицi (огорожi). Зимою вiдчутний спад попиту, отже i виробництво зменшує обсяги.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Ринок збуту:  охоплено всi регiони України,крiм тимчасово-окупованих росiєю, та основним покупцем є ТзОВ "Епiцентр" та ТзОВ "Нова лiнiя",  ТзОВ "ЛеруаМерленУкраїна".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 xml:space="preserve">Основні придбання або відчуження активів за останні п'ять років. Якщо підприємство планує будь-які значні інвестиції або придбання, пов'язані з його господарською діяльністю, їх необхідно описати, включаючи суттєві умови придбання або інвестиції, їх вартість і спосіб фінансування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  останнi 5 рокiв значного придбання чи вiдчуження активiв не було.</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Основні засоби емітента, включаючи об'єкти оренди та будь-які значні правочини емітента щодо них; виробничі потужності та ступінь використання обладнання; спосіб утримання активів, місцезнаходження основних засобів. Крім того, необхідно описати екологічні питання, що можуть позначитися на використанні активів підприємства, плани капітального будівництва, розширення або удосконалення основних засобів, характер та причини таких планів, суми видатків, у тому числі вже зроблених, опис методу фінансування, прогнозні дати початку та закінчення діяльності та очікуване зростання виробничих потужностей після її завершення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 сьогоднiшнiй день пiдприємство має в наявностi  наступнi виробничi потужностi:1.Цех металообробки; 2.Цех покраски.  Суттєвi змiни у вартостi основних засобiв протягом звiтног </w:t>
      </w:r>
      <w:r>
        <w:rPr>
          <w:rFonts w:ascii="Times New Roman CYR" w:hAnsi="Times New Roman CYR" w:cs="Times New Roman CYR"/>
          <w:sz w:val="24"/>
          <w:szCs w:val="24"/>
        </w:rPr>
        <w:lastRenderedPageBreak/>
        <w:t>оперiоду не вiдбувалися.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груднi було здiйснено введення в експлуатацiю ранiше придбание обладнання для цеху Виготовлення драбин стельових, як майбутнiй новий вид продукцiї.</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Проблеми, які впливають на діяльність емітента; ступінь залежності від законодавчих або економічних обмежень</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Основними проблемами, що впливають на розвиток виробництва є: низька платоспроможнiсть населення, недосконале податкове законодавство</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Опис обраної політики щодо фінансування діяльності емітента, достатність робочого капіталу для поточних потреб, можливі шляхи покращення ліквідності за оцінками фахівців емітента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Дiяльнiть Товариства фiнансується за рахунок лише  власних коштiв.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Вартість укладених, але ще не виконаних договорів (контрактів) на кінець звітного періоду (загальний підсумок) та очікувані прибутки від виконання цих договорів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Всi укладенi договори на кiнець звiтного перiоду виконанi.</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Стратегія подальшої діяльності емітента щонайменше на рік (щодо розширення виробництва, реконструкції, поліпшення фінансового стану, опис істотних факторів, які можуть вплинути на діяльність емітента в майбутньому)</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Поточна дiяльнiсть Товариства направлена на подальше розширення виробництва.  Планується введення в експлуатацiю ще одного виробничого цеху для освоєння ще одного нового напрямку виробництва продукцiї: драбини (сходи на горище).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Опис політики емітента щодо досліджень та розробок, вказати суму витрат на дослідження та розробку за звітний рік</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звiтному роцi емiтент не здiйснював витрат на дослiдження та розробки.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b/>
          <w:bCs/>
          <w:sz w:val="24"/>
          <w:szCs w:val="24"/>
        </w:rPr>
      </w:pPr>
      <w:r>
        <w:rPr>
          <w:rFonts w:ascii="Times New Roman CYR" w:hAnsi="Times New Roman CYR" w:cs="Times New Roman CYR"/>
          <w:b/>
          <w:bCs/>
          <w:sz w:val="24"/>
          <w:szCs w:val="24"/>
        </w:rPr>
        <w:t>Інша інформація, яка може бути істотною для оцінки інвестором фінансового стану та результатів діяльності емітента, у тому числі, за наявності, інформацію про результати та аналіз господарювання емітента за останні три роки у формі аналітичної довідки в довільній формі</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iнша iнформацiя вiдсутня</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IV. Інформація про органи управління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4000"/>
        <w:gridCol w:w="4000"/>
      </w:tblGrid>
      <w:tr w:rsidR="00F31D3B">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Орган управління</w:t>
            </w:r>
          </w:p>
        </w:tc>
        <w:tc>
          <w:tcPr>
            <w:tcW w:w="4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Структура</w:t>
            </w:r>
          </w:p>
        </w:tc>
        <w:tc>
          <w:tcPr>
            <w:tcW w:w="40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Персональний склад</w:t>
            </w:r>
          </w:p>
        </w:tc>
      </w:tr>
      <w:tr w:rsidR="00F31D3B">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Загальнi збори акцiонерiв</w:t>
            </w:r>
          </w:p>
        </w:tc>
        <w:tc>
          <w:tcPr>
            <w:tcW w:w="4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фiзичнi особи</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Акцiонери, зареєстрованi для участi у зборах.</w:t>
            </w:r>
          </w:p>
        </w:tc>
      </w:tr>
      <w:tr w:rsidR="00F31D3B">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Виконавчий орган</w:t>
            </w:r>
          </w:p>
        </w:tc>
        <w:tc>
          <w:tcPr>
            <w:tcW w:w="4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Генеральний директор</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Антоняк Володимир Михайлович</w:t>
            </w:r>
          </w:p>
        </w:tc>
      </w:tr>
      <w:tr w:rsidR="00F31D3B">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Наглядова рада</w:t>
            </w:r>
          </w:p>
        </w:tc>
        <w:tc>
          <w:tcPr>
            <w:tcW w:w="4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наглядової ради</w:t>
            </w:r>
          </w:p>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w:t>
            </w:r>
          </w:p>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w:t>
            </w:r>
          </w:p>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Максимчук Лариса Володимирiвна</w:t>
            </w:r>
          </w:p>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Скалицький Анатолiйович Валентинович</w:t>
            </w:r>
          </w:p>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Лук"янов Вiталiй Олександрович</w:t>
            </w:r>
          </w:p>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r>
      <w:tr w:rsidR="00F31D3B">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Ревiзор</w:t>
            </w:r>
          </w:p>
        </w:tc>
        <w:tc>
          <w:tcPr>
            <w:tcW w:w="4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Ревiзор</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Лук'янова Марiя Iванiвна</w:t>
            </w:r>
          </w:p>
        </w:tc>
      </w:tr>
    </w:tbl>
    <w:p w:rsidR="00F31D3B" w:rsidRDefault="00F31D3B">
      <w:pPr>
        <w:widowControl w:val="0"/>
        <w:autoSpaceDE w:val="0"/>
        <w:autoSpaceDN w:val="0"/>
        <w:adjustRightInd w:val="0"/>
        <w:spacing w:after="0" w:line="240" w:lineRule="auto"/>
        <w:rPr>
          <w:rFonts w:ascii="Times New Roman CYR" w:hAnsi="Times New Roman CYR" w:cs="Times New Roman CYR"/>
        </w:rPr>
      </w:pPr>
    </w:p>
    <w:p w:rsidR="00F31D3B" w:rsidRDefault="00F31D3B">
      <w:pPr>
        <w:widowControl w:val="0"/>
        <w:autoSpaceDE w:val="0"/>
        <w:autoSpaceDN w:val="0"/>
        <w:adjustRightInd w:val="0"/>
        <w:spacing w:after="0" w:line="240" w:lineRule="auto"/>
        <w:rPr>
          <w:rFonts w:ascii="Times New Roman CYR" w:hAnsi="Times New Roman CYR" w:cs="Times New Roman CYR"/>
        </w:rPr>
        <w:sectPr w:rsidR="00F31D3B">
          <w:pgSz w:w="12240" w:h="15840"/>
          <w:pgMar w:top="850" w:right="850" w:bottom="850" w:left="1400" w:header="708" w:footer="708" w:gutter="0"/>
          <w:cols w:space="720"/>
          <w:noEndnote/>
        </w:sect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V. Інформація про посадових осіб емітента</w:t>
      </w: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1. Інформація щодо освіти та стажу роботи посадових осіб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tblPr>
      <w:tblGrid>
        <w:gridCol w:w="900"/>
        <w:gridCol w:w="2500"/>
        <w:gridCol w:w="3000"/>
        <w:gridCol w:w="850"/>
        <w:gridCol w:w="2250"/>
        <w:gridCol w:w="1000"/>
        <w:gridCol w:w="3050"/>
        <w:gridCol w:w="1550"/>
      </w:tblGrid>
      <w:tr w:rsidR="00F31D3B">
        <w:tblPrEx>
          <w:tblCellMar>
            <w:top w:w="0" w:type="dxa"/>
            <w:bottom w:w="0" w:type="dxa"/>
          </w:tblCellMar>
        </w:tblPrEx>
        <w:trPr>
          <w:trHeight w:val="200"/>
        </w:trPr>
        <w:tc>
          <w:tcPr>
            <w:tcW w:w="9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з/п</w:t>
            </w:r>
          </w:p>
        </w:tc>
        <w:tc>
          <w:tcPr>
            <w:tcW w:w="2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Посада</w:t>
            </w:r>
          </w:p>
        </w:tc>
        <w:tc>
          <w:tcPr>
            <w:tcW w:w="3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w:t>
            </w:r>
          </w:p>
        </w:tc>
        <w:tc>
          <w:tcPr>
            <w:tcW w:w="8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Рік народження</w:t>
            </w:r>
          </w:p>
        </w:tc>
        <w:tc>
          <w:tcPr>
            <w:tcW w:w="22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Освіта</w:t>
            </w:r>
          </w:p>
        </w:tc>
        <w:tc>
          <w:tcPr>
            <w:tcW w:w="1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Стаж роботи (років)</w:t>
            </w:r>
          </w:p>
        </w:tc>
        <w:tc>
          <w:tcPr>
            <w:tcW w:w="30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підприємства, ідентифікаційний код юридичної особи та посада, яку займав</w:t>
            </w:r>
          </w:p>
        </w:tc>
        <w:tc>
          <w:tcPr>
            <w:tcW w:w="155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набуття повноважень та термін, на який обрано (призначено)</w:t>
            </w:r>
          </w:p>
        </w:tc>
      </w:tr>
      <w:tr w:rsidR="00F31D3B">
        <w:tblPrEx>
          <w:tblCellMar>
            <w:top w:w="0" w:type="dxa"/>
            <w:bottom w:w="0" w:type="dxa"/>
          </w:tblCellMar>
        </w:tblPrEx>
        <w:trPr>
          <w:trHeight w:val="200"/>
        </w:trPr>
        <w:tc>
          <w:tcPr>
            <w:tcW w:w="9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3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8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2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30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55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r>
      <w:tr w:rsidR="00F31D3B">
        <w:tblPrEx>
          <w:tblCellMar>
            <w:top w:w="0" w:type="dxa"/>
            <w:bottom w:w="0" w:type="dxa"/>
          </w:tblCellMar>
        </w:tblPrEx>
        <w:trPr>
          <w:trHeight w:val="200"/>
        </w:trPr>
        <w:tc>
          <w:tcPr>
            <w:tcW w:w="900" w:type="dxa"/>
            <w:vMerge w:val="restart"/>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Голова наглядової ради, Головний бухгалтер</w:t>
            </w:r>
          </w:p>
        </w:tc>
        <w:tc>
          <w:tcPr>
            <w:tcW w:w="3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Максимчук Лариса Володимирiвна</w:t>
            </w:r>
          </w:p>
        </w:tc>
        <w:tc>
          <w:tcPr>
            <w:tcW w:w="8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1978</w:t>
            </w:r>
          </w:p>
        </w:tc>
        <w:tc>
          <w:tcPr>
            <w:tcW w:w="22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w:t>
            </w:r>
          </w:p>
        </w:tc>
        <w:tc>
          <w:tcPr>
            <w:tcW w:w="30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ПП "Волиньавтомотосервiс", 21742251, ПП "Волиньавтомотосервiс", головний бухгалтер</w:t>
            </w:r>
          </w:p>
        </w:tc>
        <w:tc>
          <w:tcPr>
            <w:tcW w:w="155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28.04.2020, на три роки</w:t>
            </w:r>
          </w:p>
        </w:tc>
      </w:tr>
      <w:tr w:rsidR="00F31D3B">
        <w:tblPrEx>
          <w:tblCellMar>
            <w:top w:w="0" w:type="dxa"/>
            <w:bottom w:w="0" w:type="dxa"/>
          </w:tblCellMar>
        </w:tblPrEx>
        <w:trPr>
          <w:trHeight w:val="200"/>
        </w:trPr>
        <w:tc>
          <w:tcPr>
            <w:tcW w:w="900" w:type="dxa"/>
            <w:vMerge/>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Обов'язки голови наглядової ради визначенi Статутом. Посадовiй особi емiтента винагорода, в тому числi у натуральнiй формi не виплачувалась. Обiймає посаду головного бухгалтера.  Змiни у складi посадових осiб  протягом звiтного перiоду не вiдбувалося.Продовжено термiн перебування на посадi в 2020 роцi. Посадова особа є акцiонером товариства. Стаж роботи 23 роки. Непогашеної судимостi за корисливi та посадовi злочини посадова особа не має</w:t>
            </w:r>
          </w:p>
        </w:tc>
      </w:tr>
      <w:tr w:rsidR="00F31D3B">
        <w:tblPrEx>
          <w:tblCellMar>
            <w:top w:w="0" w:type="dxa"/>
            <w:bottom w:w="0" w:type="dxa"/>
          </w:tblCellMar>
        </w:tblPrEx>
        <w:trPr>
          <w:trHeight w:val="200"/>
        </w:trPr>
        <w:tc>
          <w:tcPr>
            <w:tcW w:w="900" w:type="dxa"/>
            <w:vMerge w:val="restart"/>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Генеральний директор</w:t>
            </w:r>
          </w:p>
        </w:tc>
        <w:tc>
          <w:tcPr>
            <w:tcW w:w="3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Антоняк Володимир Михайлович</w:t>
            </w:r>
          </w:p>
        </w:tc>
        <w:tc>
          <w:tcPr>
            <w:tcW w:w="8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1957</w:t>
            </w:r>
          </w:p>
        </w:tc>
        <w:tc>
          <w:tcPr>
            <w:tcW w:w="22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w:t>
            </w:r>
          </w:p>
        </w:tc>
        <w:tc>
          <w:tcPr>
            <w:tcW w:w="30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ЗАТ "СЯЙВО", 21750308, ЗАТ "СЯЙВО", голова правлiння, Голова наглядової ради</w:t>
            </w:r>
          </w:p>
        </w:tc>
        <w:tc>
          <w:tcPr>
            <w:tcW w:w="155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28.04.2020, на три роки</w:t>
            </w:r>
          </w:p>
        </w:tc>
      </w:tr>
      <w:tr w:rsidR="00F31D3B">
        <w:tblPrEx>
          <w:tblCellMar>
            <w:top w:w="0" w:type="dxa"/>
            <w:bottom w:w="0" w:type="dxa"/>
          </w:tblCellMar>
        </w:tblPrEx>
        <w:trPr>
          <w:trHeight w:val="200"/>
        </w:trPr>
        <w:tc>
          <w:tcPr>
            <w:tcW w:w="900" w:type="dxa"/>
            <w:vMerge/>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Генеральний директор має право вiдкривати рахунки в банкiвських установах, вчиняти правочини вiд iменi Товариства, видавати накази та розпорядження, здiйснює розпорядження коштами та майном Товариства в межах, визначиних Статутом, рiшеннями Загальних зборiв. Права та обовязки генерального директора визначаються Статутом Товариства. Розмiр винагороди визначається контрактом, укладеним мiж Товариством та генеральним директором. Iншi посади на iнших пiдприємствах не займає. Стаж 49 рокiв. Змiни у складi посадових осiб  протягом звiтного перiоду не вiдбувалося. Продовжено термiн перебування на посадi в 2020 роцi. Посадова особа не має непогашених судимостей за посадовi та корисливi злочини.</w:t>
            </w:r>
          </w:p>
        </w:tc>
      </w:tr>
      <w:tr w:rsidR="00F31D3B">
        <w:tblPrEx>
          <w:tblCellMar>
            <w:top w:w="0" w:type="dxa"/>
            <w:bottom w:w="0" w:type="dxa"/>
          </w:tblCellMar>
        </w:tblPrEx>
        <w:trPr>
          <w:trHeight w:val="200"/>
        </w:trPr>
        <w:tc>
          <w:tcPr>
            <w:tcW w:w="900" w:type="dxa"/>
            <w:vMerge w:val="restart"/>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2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w:t>
            </w:r>
          </w:p>
        </w:tc>
        <w:tc>
          <w:tcPr>
            <w:tcW w:w="3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Скалицький Анатолiйович Валентинович</w:t>
            </w:r>
          </w:p>
        </w:tc>
        <w:tc>
          <w:tcPr>
            <w:tcW w:w="8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1945</w:t>
            </w:r>
          </w:p>
        </w:tc>
        <w:tc>
          <w:tcPr>
            <w:tcW w:w="22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53</w:t>
            </w:r>
          </w:p>
        </w:tc>
        <w:tc>
          <w:tcPr>
            <w:tcW w:w="30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ЗАТ "СЯЙВО", 21750308, ЗАТ "СЯЙВО"</w:t>
            </w:r>
          </w:p>
        </w:tc>
        <w:tc>
          <w:tcPr>
            <w:tcW w:w="155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28.04.2020, на три роки</w:t>
            </w:r>
          </w:p>
        </w:tc>
      </w:tr>
      <w:tr w:rsidR="00F31D3B">
        <w:tblPrEx>
          <w:tblCellMar>
            <w:top w:w="0" w:type="dxa"/>
            <w:bottom w:w="0" w:type="dxa"/>
          </w:tblCellMar>
        </w:tblPrEx>
        <w:trPr>
          <w:trHeight w:val="200"/>
        </w:trPr>
        <w:tc>
          <w:tcPr>
            <w:tcW w:w="900" w:type="dxa"/>
            <w:vMerge/>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Обов'язки члена наглядової ради визначенi Статутом. Посадовiй особi емiтента винагорода, в тому числi у натуральнiй формi не виплачувалась. Будь-яких iнших посад в тому числi за сумiсництвом не обiймає. Змiни у складi посадових осiб  протягом звiтного перiоду не вiдбувалося.   Продовжено термiн перебування на посадi в 2020роцi. Посадова особа є акцiонером товариства. Стаж роботи 53 роки. Непогашеної судимостi за корисливi та посадовi злочини посадова особа не має.</w:t>
            </w:r>
          </w:p>
        </w:tc>
      </w:tr>
      <w:tr w:rsidR="00F31D3B">
        <w:tblPrEx>
          <w:tblCellMar>
            <w:top w:w="0" w:type="dxa"/>
            <w:bottom w:w="0" w:type="dxa"/>
          </w:tblCellMar>
        </w:tblPrEx>
        <w:trPr>
          <w:trHeight w:val="200"/>
        </w:trPr>
        <w:tc>
          <w:tcPr>
            <w:tcW w:w="900" w:type="dxa"/>
            <w:vMerge w:val="restart"/>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Член наглядової ради</w:t>
            </w:r>
          </w:p>
        </w:tc>
        <w:tc>
          <w:tcPr>
            <w:tcW w:w="3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Лук"янов Вiталiй Олександрович</w:t>
            </w:r>
          </w:p>
        </w:tc>
        <w:tc>
          <w:tcPr>
            <w:tcW w:w="8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1978</w:t>
            </w:r>
          </w:p>
        </w:tc>
        <w:tc>
          <w:tcPr>
            <w:tcW w:w="22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w:t>
            </w:r>
          </w:p>
        </w:tc>
        <w:tc>
          <w:tcPr>
            <w:tcW w:w="30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ЗАТ "СЯЙВО", 21750308, ЗАТ "Сяйво"</w:t>
            </w:r>
          </w:p>
        </w:tc>
        <w:tc>
          <w:tcPr>
            <w:tcW w:w="155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28.04.2020, на три роки</w:t>
            </w:r>
          </w:p>
        </w:tc>
      </w:tr>
      <w:tr w:rsidR="00F31D3B">
        <w:tblPrEx>
          <w:tblCellMar>
            <w:top w:w="0" w:type="dxa"/>
            <w:bottom w:w="0" w:type="dxa"/>
          </w:tblCellMar>
        </w:tblPrEx>
        <w:trPr>
          <w:trHeight w:val="200"/>
        </w:trPr>
        <w:tc>
          <w:tcPr>
            <w:tcW w:w="900" w:type="dxa"/>
            <w:vMerge/>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Обов'язки члена наглядової ради визначенi Статутом. Посадовiй особi емiтента винагорода, в тому числi у натуральнiй формi не виплачувалась. </w:t>
            </w:r>
            <w:r>
              <w:rPr>
                <w:rFonts w:ascii="Times New Roman CYR" w:hAnsi="Times New Roman CYR" w:cs="Times New Roman CYR"/>
              </w:rPr>
              <w:lastRenderedPageBreak/>
              <w:t>Будь-яких iнших посад в тому числi за сумiсництвом не обiймає. Змiни у складi посадових осiб  протягом звiтного перiоду не вiдбувалося.   Продовжено термiн перебування на посадi в 2020 роцi. Посадова особа є акцiонером товариства. Стаж роботи  13 рокiв  Непогашеної судимостi за корисливi та посадовi злочини посадова особа не має</w:t>
            </w:r>
          </w:p>
        </w:tc>
      </w:tr>
      <w:tr w:rsidR="00F31D3B">
        <w:tblPrEx>
          <w:tblCellMar>
            <w:top w:w="0" w:type="dxa"/>
            <w:bottom w:w="0" w:type="dxa"/>
          </w:tblCellMar>
        </w:tblPrEx>
        <w:trPr>
          <w:trHeight w:val="200"/>
        </w:trPr>
        <w:tc>
          <w:tcPr>
            <w:tcW w:w="900" w:type="dxa"/>
            <w:vMerge w:val="restart"/>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5</w:t>
            </w:r>
          </w:p>
        </w:tc>
        <w:tc>
          <w:tcPr>
            <w:tcW w:w="2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Ревiзор</w:t>
            </w:r>
          </w:p>
        </w:tc>
        <w:tc>
          <w:tcPr>
            <w:tcW w:w="3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Лук'янова Марiя Iванiвна</w:t>
            </w:r>
          </w:p>
        </w:tc>
        <w:tc>
          <w:tcPr>
            <w:tcW w:w="8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1956</w:t>
            </w:r>
          </w:p>
        </w:tc>
        <w:tc>
          <w:tcPr>
            <w:tcW w:w="22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вища</w:t>
            </w:r>
          </w:p>
        </w:tc>
        <w:tc>
          <w:tcPr>
            <w:tcW w:w="1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w:t>
            </w:r>
          </w:p>
        </w:tc>
        <w:tc>
          <w:tcPr>
            <w:tcW w:w="30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ЗАТ "СЯЙВО", 21750308, Займала посаду диспетчера</w:t>
            </w:r>
          </w:p>
        </w:tc>
        <w:tc>
          <w:tcPr>
            <w:tcW w:w="155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28.04.2020, на три роки</w:t>
            </w:r>
          </w:p>
        </w:tc>
      </w:tr>
      <w:tr w:rsidR="00F31D3B">
        <w:tblPrEx>
          <w:tblCellMar>
            <w:top w:w="0" w:type="dxa"/>
            <w:bottom w:w="0" w:type="dxa"/>
          </w:tblCellMar>
        </w:tblPrEx>
        <w:trPr>
          <w:trHeight w:val="200"/>
        </w:trPr>
        <w:tc>
          <w:tcPr>
            <w:tcW w:w="900" w:type="dxa"/>
            <w:vMerge/>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p>
        </w:tc>
        <w:tc>
          <w:tcPr>
            <w:tcW w:w="14200" w:type="dxa"/>
            <w:gridSpan w:val="7"/>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Опис:</w:t>
            </w:r>
          </w:p>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Повноваження та обов'язки Ревiзора визначенi Статутом Товариства. Винагорода не нараховується. У натуральнiй формi оплата не здiснювалась.   До виконання функцiй ревiзора у ПрАТ "Сяйво" займала посаду диспетчера. Посадова особа емiтента не обiймає посади на будь-яких iнших пiдприємствах. Змiни у складi посадових осiб  протягом звiтного перiоду не вiдбувалося.   Продовжено термiн перебування на посадi в 2020 роцi. Стаж роботи 33 роки. Посадова особа непогашеної судимостi за корисливi та посадовi злочини немає</w:t>
            </w:r>
          </w:p>
        </w:tc>
      </w:tr>
    </w:tbl>
    <w:p w:rsidR="00F31D3B" w:rsidRDefault="00F31D3B">
      <w:pPr>
        <w:widowControl w:val="0"/>
        <w:autoSpaceDE w:val="0"/>
        <w:autoSpaceDN w:val="0"/>
        <w:adjustRightInd w:val="0"/>
        <w:spacing w:after="0" w:line="240" w:lineRule="auto"/>
        <w:rPr>
          <w:rFonts w:ascii="Times New Roman CYR" w:hAnsi="Times New Roman CYR" w:cs="Times New Roman CYR"/>
        </w:rPr>
      </w:pPr>
    </w:p>
    <w:p w:rsidR="00F31D3B" w:rsidRDefault="00F31D3B">
      <w:pPr>
        <w:widowControl w:val="0"/>
        <w:autoSpaceDE w:val="0"/>
        <w:autoSpaceDN w:val="0"/>
        <w:adjustRightInd w:val="0"/>
        <w:spacing w:after="0" w:line="240" w:lineRule="auto"/>
        <w:rPr>
          <w:rFonts w:ascii="Times New Roman CYR" w:hAnsi="Times New Roman CYR" w:cs="Times New Roman CYR"/>
        </w:rPr>
        <w:sectPr w:rsidR="00F31D3B">
          <w:pgSz w:w="16838" w:h="11906" w:orient="landscape"/>
          <w:pgMar w:top="850" w:right="850" w:bottom="850" w:left="1400" w:header="708" w:footer="708" w:gutter="0"/>
          <w:cols w:space="720"/>
          <w:noEndnote/>
        </w:sect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2. Інформація про володіння посадовими особами емітента акціями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tblPr>
      <w:tblGrid>
        <w:gridCol w:w="3050"/>
        <w:gridCol w:w="4400"/>
        <w:gridCol w:w="1200"/>
        <w:gridCol w:w="1300"/>
        <w:gridCol w:w="2400"/>
        <w:gridCol w:w="2771"/>
      </w:tblGrid>
      <w:tr w:rsidR="00F31D3B">
        <w:tblPrEx>
          <w:tblCellMar>
            <w:top w:w="0" w:type="dxa"/>
            <w:bottom w:w="0" w:type="dxa"/>
          </w:tblCellMar>
        </w:tblPrEx>
        <w:trPr>
          <w:trHeight w:val="200"/>
        </w:trPr>
        <w:tc>
          <w:tcPr>
            <w:tcW w:w="3050" w:type="dxa"/>
            <w:vMerge w:val="restart"/>
            <w:tcBorders>
              <w:top w:val="single" w:sz="6" w:space="0" w:color="auto"/>
              <w:bottom w:val="nil"/>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Посада</w:t>
            </w:r>
          </w:p>
        </w:tc>
        <w:tc>
          <w:tcPr>
            <w:tcW w:w="4400" w:type="dxa"/>
            <w:vMerge w:val="restart"/>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Прізвище, ім'я, по батькові фізичної особи або повне найменування юридичної особи </w:t>
            </w:r>
          </w:p>
        </w:tc>
        <w:tc>
          <w:tcPr>
            <w:tcW w:w="1200" w:type="dxa"/>
            <w:vMerge w:val="restart"/>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 xml:space="preserve"> Кількість акцій (шт.)</w:t>
            </w:r>
          </w:p>
        </w:tc>
        <w:tc>
          <w:tcPr>
            <w:tcW w:w="1300" w:type="dxa"/>
            <w:vMerge w:val="restart"/>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 загальної кількості акцій (у відсотках)</w:t>
            </w:r>
          </w:p>
        </w:tc>
        <w:tc>
          <w:tcPr>
            <w:tcW w:w="5171"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за видами акцій</w:t>
            </w:r>
          </w:p>
        </w:tc>
      </w:tr>
      <w:tr w:rsidR="00F31D3B">
        <w:tblPrEx>
          <w:tblCellMar>
            <w:top w:w="0" w:type="dxa"/>
            <w:bottom w:w="0" w:type="dxa"/>
          </w:tblCellMar>
        </w:tblPrEx>
        <w:trPr>
          <w:trHeight w:val="200"/>
        </w:trPr>
        <w:tc>
          <w:tcPr>
            <w:tcW w:w="3050" w:type="dxa"/>
            <w:vMerge/>
            <w:tcBorders>
              <w:top w:val="nil"/>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p>
        </w:tc>
        <w:tc>
          <w:tcPr>
            <w:tcW w:w="4400" w:type="dxa"/>
            <w:vMerge/>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p>
        </w:tc>
        <w:tc>
          <w:tcPr>
            <w:tcW w:w="1200" w:type="dxa"/>
            <w:vMerge/>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p>
        </w:tc>
        <w:tc>
          <w:tcPr>
            <w:tcW w:w="1300" w:type="dxa"/>
            <w:vMerge/>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p>
        </w:tc>
        <w:tc>
          <w:tcPr>
            <w:tcW w:w="24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Прості іменні</w:t>
            </w:r>
          </w:p>
        </w:tc>
        <w:tc>
          <w:tcPr>
            <w:tcW w:w="2771"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Привілейовані іменні</w:t>
            </w:r>
          </w:p>
        </w:tc>
      </w:tr>
      <w:tr w:rsidR="00F31D3B">
        <w:tblPrEx>
          <w:tblCellMar>
            <w:top w:w="0" w:type="dxa"/>
            <w:bottom w:w="0" w:type="dxa"/>
          </w:tblCellMar>
        </w:tblPrEx>
        <w:trPr>
          <w:trHeight w:val="200"/>
        </w:trPr>
        <w:tc>
          <w:tcPr>
            <w:tcW w:w="3050" w:type="dxa"/>
            <w:tcBorders>
              <w:top w:val="nil"/>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44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2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3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24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2771"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r>
      <w:tr w:rsidR="00F31D3B">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Голова наглядової ради</w:t>
            </w:r>
          </w:p>
        </w:tc>
        <w:tc>
          <w:tcPr>
            <w:tcW w:w="44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Максимчук Лариса Володимирiвна</w:t>
            </w:r>
          </w:p>
        </w:tc>
        <w:tc>
          <w:tcPr>
            <w:tcW w:w="12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1 000</w:t>
            </w:r>
          </w:p>
        </w:tc>
        <w:tc>
          <w:tcPr>
            <w:tcW w:w="13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w:t>
            </w:r>
          </w:p>
        </w:tc>
        <w:tc>
          <w:tcPr>
            <w:tcW w:w="24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1 000</w:t>
            </w:r>
          </w:p>
        </w:tc>
        <w:tc>
          <w:tcPr>
            <w:tcW w:w="2771"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Генеральний директоро</w:t>
            </w:r>
          </w:p>
        </w:tc>
        <w:tc>
          <w:tcPr>
            <w:tcW w:w="44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Антоняк Володимир Михайлович</w:t>
            </w:r>
          </w:p>
        </w:tc>
        <w:tc>
          <w:tcPr>
            <w:tcW w:w="12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351 990</w:t>
            </w:r>
          </w:p>
        </w:tc>
        <w:tc>
          <w:tcPr>
            <w:tcW w:w="13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50,6</w:t>
            </w:r>
          </w:p>
        </w:tc>
        <w:tc>
          <w:tcPr>
            <w:tcW w:w="24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351 990</w:t>
            </w:r>
          </w:p>
        </w:tc>
        <w:tc>
          <w:tcPr>
            <w:tcW w:w="2771"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Член наглядової ради</w:t>
            </w:r>
          </w:p>
        </w:tc>
        <w:tc>
          <w:tcPr>
            <w:tcW w:w="44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Скалицький Анатолiйович Валентинович</w:t>
            </w:r>
          </w:p>
        </w:tc>
        <w:tc>
          <w:tcPr>
            <w:tcW w:w="12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7 139</w:t>
            </w:r>
          </w:p>
        </w:tc>
        <w:tc>
          <w:tcPr>
            <w:tcW w:w="13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24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7 139</w:t>
            </w:r>
          </w:p>
        </w:tc>
        <w:tc>
          <w:tcPr>
            <w:tcW w:w="2771"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Член наглядової ради</w:t>
            </w:r>
          </w:p>
        </w:tc>
        <w:tc>
          <w:tcPr>
            <w:tcW w:w="44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Лук"янов Вiталiй Олександрович</w:t>
            </w:r>
          </w:p>
        </w:tc>
        <w:tc>
          <w:tcPr>
            <w:tcW w:w="12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65 371</w:t>
            </w:r>
          </w:p>
        </w:tc>
        <w:tc>
          <w:tcPr>
            <w:tcW w:w="13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9,4</w:t>
            </w:r>
          </w:p>
        </w:tc>
        <w:tc>
          <w:tcPr>
            <w:tcW w:w="24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65 371</w:t>
            </w:r>
          </w:p>
        </w:tc>
        <w:tc>
          <w:tcPr>
            <w:tcW w:w="2771"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305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Ревiзор</w:t>
            </w:r>
          </w:p>
        </w:tc>
        <w:tc>
          <w:tcPr>
            <w:tcW w:w="44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Лук'янова Марiя Iванiвна</w:t>
            </w:r>
          </w:p>
        </w:tc>
        <w:tc>
          <w:tcPr>
            <w:tcW w:w="12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157 568</w:t>
            </w:r>
          </w:p>
        </w:tc>
        <w:tc>
          <w:tcPr>
            <w:tcW w:w="13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w:t>
            </w:r>
          </w:p>
        </w:tc>
        <w:tc>
          <w:tcPr>
            <w:tcW w:w="24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157 568</w:t>
            </w:r>
          </w:p>
        </w:tc>
        <w:tc>
          <w:tcPr>
            <w:tcW w:w="2771"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bl>
    <w:p w:rsidR="00F31D3B" w:rsidRDefault="00F31D3B">
      <w:pPr>
        <w:widowControl w:val="0"/>
        <w:autoSpaceDE w:val="0"/>
        <w:autoSpaceDN w:val="0"/>
        <w:adjustRightInd w:val="0"/>
        <w:spacing w:after="0" w:line="240" w:lineRule="auto"/>
        <w:rPr>
          <w:rFonts w:ascii="Times New Roman CYR" w:hAnsi="Times New Roman CYR" w:cs="Times New Roman CYR"/>
        </w:rPr>
      </w:pPr>
    </w:p>
    <w:p w:rsidR="00F31D3B" w:rsidRDefault="00F31D3B">
      <w:pPr>
        <w:widowControl w:val="0"/>
        <w:autoSpaceDE w:val="0"/>
        <w:autoSpaceDN w:val="0"/>
        <w:adjustRightInd w:val="0"/>
        <w:spacing w:after="0" w:line="240" w:lineRule="auto"/>
        <w:rPr>
          <w:rFonts w:ascii="Times New Roman CYR" w:hAnsi="Times New Roman CYR" w:cs="Times New Roman CYR"/>
        </w:rPr>
        <w:sectPr w:rsidR="00F31D3B">
          <w:pgSz w:w="16838" w:h="11906" w:orient="landscape"/>
          <w:pgMar w:top="850" w:right="850" w:bottom="850" w:left="1400" w:header="708" w:footer="708" w:gutter="0"/>
          <w:cols w:space="720"/>
          <w:noEndnote/>
        </w:sect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3. Інформація про будь-які винагороди або компенсації, які мають бути виплачені посадовим особам емітента в разі їх звільнення</w:t>
      </w: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разi звiльнення посадових осiб, їм виплачуються винагороди або компенсацiї у вiдповiдностi до чинного законодавчтва. Окремого положення про такi виплати в ПрАТ "Сяйво" немає.</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sectPr w:rsidR="00F31D3B">
          <w:pgSz w:w="12240" w:h="15840"/>
          <w:pgMar w:top="850" w:right="850" w:bottom="850" w:left="1400" w:header="708" w:footer="708" w:gutter="0"/>
          <w:cols w:space="720"/>
          <w:noEndnote/>
        </w:sect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VI. Інформація про засновників та/або учасників емітента та відсоток акцій (часток, паїв)</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CellMar>
          <w:left w:w="28" w:type="dxa"/>
          <w:right w:w="28" w:type="dxa"/>
        </w:tblCellMar>
        <w:tblLook w:val="0000"/>
      </w:tblPr>
      <w:tblGrid>
        <w:gridCol w:w="2920"/>
        <w:gridCol w:w="1700"/>
        <w:gridCol w:w="3300"/>
        <w:gridCol w:w="2000"/>
      </w:tblGrid>
      <w:tr w:rsidR="00F31D3B">
        <w:tblPrEx>
          <w:tblCellMar>
            <w:top w:w="0" w:type="dxa"/>
            <w:bottom w:w="0" w:type="dxa"/>
          </w:tblCellMar>
        </w:tblPrEx>
        <w:trPr>
          <w:trHeight w:val="200"/>
        </w:trPr>
        <w:tc>
          <w:tcPr>
            <w:tcW w:w="292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юридичної особи засновника та/або учасника</w:t>
            </w:r>
          </w:p>
        </w:tc>
        <w:tc>
          <w:tcPr>
            <w:tcW w:w="17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 засновника та/або учасника</w:t>
            </w:r>
          </w:p>
        </w:tc>
        <w:tc>
          <w:tcPr>
            <w:tcW w:w="33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Місцезнаходження</w:t>
            </w:r>
          </w:p>
        </w:tc>
        <w:tc>
          <w:tcPr>
            <w:tcW w:w="20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Відсоток акцій (часток, паїв), які належать засновнику та/або учаснику (від загальної кількості)</w:t>
            </w:r>
          </w:p>
        </w:tc>
      </w:tr>
      <w:tr w:rsidR="00F31D3B">
        <w:tblPrEx>
          <w:tblCellMar>
            <w:top w:w="0" w:type="dxa"/>
            <w:bottom w:w="0" w:type="dxa"/>
          </w:tblCellMar>
        </w:tblPrEx>
        <w:trPr>
          <w:trHeight w:val="200"/>
        </w:trPr>
        <w:tc>
          <w:tcPr>
            <w:tcW w:w="292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c>
          <w:tcPr>
            <w:tcW w:w="17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c>
          <w:tcPr>
            <w:tcW w:w="33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r>
      <w:tr w:rsidR="00F31D3B">
        <w:tblPrEx>
          <w:tblCellMar>
            <w:top w:w="0" w:type="dxa"/>
            <w:bottom w:w="0" w:type="dxa"/>
          </w:tblCellMar>
        </w:tblPrEx>
        <w:trPr>
          <w:trHeight w:val="200"/>
        </w:trPr>
        <w:tc>
          <w:tcPr>
            <w:tcW w:w="7920" w:type="dxa"/>
            <w:gridSpan w:val="3"/>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 фізичної особи</w:t>
            </w:r>
          </w:p>
        </w:tc>
        <w:tc>
          <w:tcPr>
            <w:tcW w:w="20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Відсоток акцій (часток, паїв), які належать засновнику та/або учаснику (від загальної кількості)</w:t>
            </w:r>
          </w:p>
        </w:tc>
      </w:tr>
      <w:tr w:rsidR="00F31D3B">
        <w:tblPrEx>
          <w:tblCellMar>
            <w:top w:w="0" w:type="dxa"/>
            <w:bottom w:w="0" w:type="dxa"/>
          </w:tblCellMar>
        </w:tblPrEx>
        <w:trPr>
          <w:trHeight w:val="200"/>
        </w:trPr>
        <w:tc>
          <w:tcPr>
            <w:tcW w:w="7920" w:type="dxa"/>
            <w:gridSpan w:val="3"/>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Учасниками товариства є 16 акцiонерiв</w:t>
            </w:r>
          </w:p>
        </w:tc>
        <w:tc>
          <w:tcPr>
            <w:tcW w:w="20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F31D3B">
        <w:tblPrEx>
          <w:tblCellMar>
            <w:top w:w="0" w:type="dxa"/>
            <w:bottom w:w="0" w:type="dxa"/>
          </w:tblCellMar>
        </w:tblPrEx>
        <w:trPr>
          <w:trHeight w:val="200"/>
        </w:trPr>
        <w:tc>
          <w:tcPr>
            <w:tcW w:w="7920" w:type="dxa"/>
            <w:gridSpan w:val="3"/>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Усього</w:t>
            </w:r>
          </w:p>
        </w:tc>
        <w:tc>
          <w:tcPr>
            <w:tcW w:w="20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bl>
    <w:p w:rsidR="00F31D3B" w:rsidRDefault="00F31D3B">
      <w:pPr>
        <w:widowControl w:val="0"/>
        <w:autoSpaceDE w:val="0"/>
        <w:autoSpaceDN w:val="0"/>
        <w:adjustRightInd w:val="0"/>
        <w:spacing w:after="0" w:line="240" w:lineRule="auto"/>
        <w:rPr>
          <w:rFonts w:ascii="Times New Roman CYR" w:hAnsi="Times New Roman CYR" w:cs="Times New Roman CYR"/>
        </w:r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VII. Звіт керівництва (звіт про управління)</w:t>
      </w:r>
    </w:p>
    <w:p w:rsidR="00F31D3B" w:rsidRDefault="00F31D3B">
      <w:pPr>
        <w:widowControl w:val="0"/>
        <w:autoSpaceDE w:val="0"/>
        <w:autoSpaceDN w:val="0"/>
        <w:adjustRightInd w:val="0"/>
        <w:spacing w:after="0" w:line="240" w:lineRule="auto"/>
        <w:jc w:val="center"/>
        <w:rPr>
          <w:rFonts w:ascii="Times New Roman CYR" w:hAnsi="Times New Roman CYR" w:cs="Times New Roman CYR"/>
          <w:sz w:val="28"/>
          <w:szCs w:val="28"/>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 Вірогідні перспективи подальшого розвитку емітента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В перспективi пiдприємство планує продовжувати здiйснювати тi ж види дiяльностi, що i в звiтному роцi. Перспективнiсть подальшого розвитку емiтента залежить вiд законодавчих змiн, вона пов'язана iз забезпеченням прийняття та виконання адекватних управлiнських рiшень вiдповiдно до змiн зовнiшнього середовища. Перспективи подальшого розвитку пiдприємства визначаються рiвнем ефективностi реалiзацiї фiнансової, iнвестицiйної, iнновацiйної полiтик, покращення кадрового забезпечення, успiшної реалiзацiї маркетингових програм тощо. Для Емiтента необхiдним є розроблення та запровадження рацiональної економiчної полiтики розвитку з метою досягнення ефективних результатiв своєї дiяльностi та конкурентоспроможностi пiдприємства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2. Інформація про розвиток емітента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Приватне акцiонерне товариство "Сяйво" (далi за текстом - товариство), створене згiдно рiшення Зборiв Акцiонерiв Вiдкритого акцiонерного товариства "Луцький пiдшипниковий завод" ( протокол №7 вiд 17 лютого 1999року), шляхом перетворення дочiрного пiдприємства "Сяйво" Вiдкритого акцiонерного товариства "Луцький пiдшипниковий завод" в Закрите акцiонерне товариство "Сяйво". Змiнено тип Товариства вiдповiдно до вимог Цивiльного кодексу України, Закону України "Про акцiонерного товариства" та рiшення зборiв акцiонерiв ( протокол №14 вiд 07 березня 2011року) на Приватне акцiонерне товариство "Сяйво".</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Товариство займається виготовленням та реалiзацiєю металовиробiв, надання послуг з механiчного оброблення металiв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3. Інформація про укладення деривативів або вчинення правочинів щодо похідних цінних паперів емітентом, якщо це впливає на оцінку його активів, зобов'язань, фінансового стану і доходів або витрат емітента, зокрема інформацію про:</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Емiтентом не укладалися деривативи, правочини щодо похiдних цiнних паперiв, тому вплив даних факторiв на оцiнку активiв, зобов'язань, фiнансового стану i доходiв або витрат Емiтента вiдсутнiй</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 завдання та політику емітента щодо управління фінансовими ризиками, у тому числі політику щодо страхування кожного основного виду прогнозованої операції, для якої використовуються операції хеджування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Завдання та полiтика емiтента щодо управлiння фiнансовими ризиками передбачає здiйснення таких основних заходiв: -iдентифiкацiя окремих видiв ризикiв, пов'язаних з фiнансовою дiяльнiстю пiдприємства. Процес iдентифiкацiї окремих видiв фiнансових ризикiв передбачає видiлення систематичних та несистематичних видiв ризикiв, що характернi для господарської дiяльностi пiдприємства, а також формування загального портфеля фiнансових ризикiв, пов'язаних з дiяльнiстю пiдприємства; - оцiнка широти i достовiрностi iнформацiї, необхiдної для визначення рiвня фiнансових ризикiв; - визначення розмiру можливих фiнансових втрат при настаннi ризикової подiї за окремими видами фiнансових ризикiв. Розмiр можливих фiнансових втрат визначається характером здiйснюваних фiнансових операцiй, обсягом задiяних в них активiв (капiталу) та максимальним рiвнем амплiтуди коливання доходiв при вiдповiдних видах фiнансових ризикiв. Емiтент у звiтному роцi не використовував страхування кожного основного виду прогнозованої операцiї та хеджування як метод страхування цiнового ризику.</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2) схильність емітента до цінових ризиків, кредитного ризику, ризику ліквідності та/або ризику грошових потоків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як i будь-яке iнше пiдприємство, в сучасних умовах економiчного розвитку країни, з урахуванням характеру державного регулювання фiнансової дiяльностi пiдприємства, темпiв iнфляцiї в країнi, рiвня конкуренцiї в окремих сегментах фiнансового ринку, в достатнiй мiрi є схильним до цiнових ризикiв, кредитного ризику, ризику лiквiдностi та/або ризику грошових потокiв.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4. Звіт про корпоративне управління: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 посилання на: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власний кодекс корпоративного управління, яким керується емітент</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Емiтентом не прийнятий власний Кодекс корпоративного управлiння,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кодекс корпоративного управлiння фондової бiржi, об'єднання юридичних осiб або iнший кодекс корпоративного управлiння, який емiтент добровiльно вирiшив застосовувати;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 не приймав рiшень про добровiльне застосовування Кодексу корпоративного управлiння фондової бiржi, об'єднання юридичних осiб або iншого (iнших) кодексiв корпоративного управлiння. всю вiдповiдну iнформацiю про практику корпоративного управлiння, застосовувану понад визначенi законодавством вимоги;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Понад визначенi законодавством вимоги практика корпоративного управлiння Емiтентом не застосовується.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кодекс корпоративного управління фондової біржі, об'єднання юридичних осіб або інший кодекс корпоративного управління, який емітент добровільно вирішив застосовувати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Кодексу корпоративного управлiння фондової бiржi, об'єднання юридичних осiб або iншого кодексу корпоративного управлiння, який емiтент добровiльно вирiшив застосовувати немає</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вся відповідна інформація про практику корпоративного управління, застосовувану понад визначені законодавством вимоги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Емiтентом не прийнятий власний Кодекс корпоративного управлiння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 xml:space="preserve">2) у разі якщо емітент відхиляється від положень кодексу корпоративного управління, </w:t>
      </w:r>
      <w:r>
        <w:rPr>
          <w:rFonts w:ascii="Times New Roman CYR" w:hAnsi="Times New Roman CYR" w:cs="Times New Roman CYR"/>
          <w:b/>
          <w:bCs/>
          <w:sz w:val="24"/>
          <w:szCs w:val="24"/>
        </w:rPr>
        <w:lastRenderedPageBreak/>
        <w:t>зазначеного в абзацах другому або третьому пункту 1 цієї частини, надайте пояснення, від яких частин кодексу корпоративного управління такий емітент відхиляється і причини таких відхилень. У разі якщо емітент прийняв рішення не застосовувати деякі положення кодексу корпоративного управління, зазначеного в абзацах другому або третьому пункту 1 цієї частини, обґрунтуйте причини таких дій</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Емiтентом не прийнятий власний Кодекс корпоративного управлiння,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3) інформація про загальні збори акціонерів (учасників)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4000"/>
        <w:gridCol w:w="2000"/>
        <w:gridCol w:w="2000"/>
      </w:tblGrid>
      <w:tr w:rsidR="00F31D3B">
        <w:tblPrEx>
          <w:tblCellMar>
            <w:top w:w="0" w:type="dxa"/>
            <w:bottom w:w="0" w:type="dxa"/>
          </w:tblCellMar>
        </w:tblPrEx>
        <w:trPr>
          <w:trHeight w:val="253"/>
        </w:trPr>
        <w:tc>
          <w:tcPr>
            <w:tcW w:w="6000" w:type="dxa"/>
            <w:gridSpan w:val="2"/>
            <w:vMerge w:val="restart"/>
            <w:tcBorders>
              <w:top w:val="single" w:sz="6" w:space="0" w:color="auto"/>
              <w:bottom w:val="nil"/>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загальних зборів</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річні</w:t>
            </w:r>
          </w:p>
        </w:tc>
        <w:tc>
          <w:tcPr>
            <w:tcW w:w="2000" w:type="dxa"/>
            <w:vMerge w:val="restart"/>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позачергові</w:t>
            </w:r>
          </w:p>
        </w:tc>
      </w:tr>
      <w:tr w:rsidR="00F31D3B">
        <w:tblPrEx>
          <w:tblCellMar>
            <w:top w:w="0" w:type="dxa"/>
            <w:bottom w:w="0" w:type="dxa"/>
          </w:tblCellMar>
        </w:tblPrEx>
        <w:trPr>
          <w:trHeight w:val="200"/>
        </w:trPr>
        <w:tc>
          <w:tcPr>
            <w:tcW w:w="6000" w:type="dxa"/>
            <w:gridSpan w:val="2"/>
            <w:vMerge/>
            <w:tcBorders>
              <w:top w:val="nil"/>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r>
      <w:tr w:rsidR="00F31D3B">
        <w:tblPrEx>
          <w:tblCellMar>
            <w:top w:w="0" w:type="dxa"/>
            <w:bottom w:w="0" w:type="dxa"/>
          </w:tblCellMar>
        </w:tblPrEx>
        <w:trPr>
          <w:trHeight w:val="200"/>
        </w:trPr>
        <w:tc>
          <w:tcPr>
            <w:tcW w:w="6000" w:type="dxa"/>
            <w:gridSpan w:val="2"/>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проведення</w:t>
            </w:r>
          </w:p>
        </w:tc>
        <w:tc>
          <w:tcPr>
            <w:tcW w:w="4000" w:type="dxa"/>
            <w:gridSpan w:val="2"/>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r>
      <w:tr w:rsidR="00F31D3B">
        <w:tblPrEx>
          <w:tblCellMar>
            <w:top w:w="0" w:type="dxa"/>
            <w:bottom w:w="0" w:type="dxa"/>
          </w:tblCellMar>
        </w:tblPrEx>
        <w:trPr>
          <w:trHeight w:val="200"/>
        </w:trPr>
        <w:tc>
          <w:tcPr>
            <w:tcW w:w="6000" w:type="dxa"/>
            <w:gridSpan w:val="2"/>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Кворум зборів</w:t>
            </w:r>
          </w:p>
        </w:tc>
        <w:tc>
          <w:tcPr>
            <w:tcW w:w="4000"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8000" w:type="dxa"/>
            <w:gridSpan w:val="3"/>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Загальнi збори в звiтному роцi не скликалися</w:t>
            </w:r>
          </w:p>
        </w:tc>
      </w:tr>
    </w:tbl>
    <w:p w:rsidR="00F31D3B" w:rsidRDefault="00F31D3B">
      <w:pPr>
        <w:widowControl w:val="0"/>
        <w:autoSpaceDE w:val="0"/>
        <w:autoSpaceDN w:val="0"/>
        <w:adjustRightInd w:val="0"/>
        <w:spacing w:after="0" w:line="240" w:lineRule="auto"/>
        <w:rPr>
          <w:rFonts w:ascii="Times New Roman CYR" w:hAnsi="Times New Roman CYR" w:cs="Times New Roman CYR"/>
        </w:rPr>
      </w:pP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Який орган здійснював реєстрацію акціонерів для участі в загальних зборах акціонерів останнього разу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Реєстраційна комісія, призначена особою, що скликала загальні збори</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Акціонери</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Депозитарна установа</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Загальнi збори в звiтному роцi не скликалися</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Який орган здійснював контроль за станом реєстрації акціонерів або їх представників для участі в останніх загальних зборах у звітному році </w:t>
      </w:r>
      <w:r>
        <w:rPr>
          <w:rFonts w:ascii="Times New Roman CYR" w:hAnsi="Times New Roman CYR" w:cs="Times New Roman CYR"/>
          <w:sz w:val="24"/>
          <w:szCs w:val="24"/>
        </w:rPr>
        <w:t>(за наявності контролю)</w:t>
      </w:r>
      <w:r>
        <w:rPr>
          <w:rFonts w:ascii="Times New Roman CYR" w:hAnsi="Times New Roman CYR" w:cs="Times New Roman CYR"/>
          <w:b/>
          <w:bCs/>
          <w:sz w:val="24"/>
          <w:szCs w:val="24"/>
        </w:rPr>
        <w:t>?</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Національна комісія з цінних паперів та фондового ринку</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Акціонери, які володіють у сукупності більше ніж 10 відсотками голосуючих акцій</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У який спосіб відбувалось голосування з питань порядку денного на загальних зборах останнього разу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Підняттям карток</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Бюлетенями (таємне голосування)</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Підняттям рук</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Загальнi збори в звiтному роцi не скликалися</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Які основні причини скликання останніх позачергових зборів у звітному році?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Реорганізація</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Додатковий випуск акцій</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Унесення змін до статуту</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рішення про збільшення статутного капіталу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рішення про зменшення статутного капіталу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або припинення повноважень голови та членів наглядової ради</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Обрання або припинення повноважень членів виконавчого органу</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або припинення повноважень членів ревізійної комісії (ревізора)</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Делегування додаткових повноважень наглядовій раді</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позачерговi збори  не скликалися.</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Чи проводились у звітному році загальні збори акціонерів у формі заочного голосування?</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 разі скликання позачергових загальних зборів зазначаються їх ініціатори: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Ревізійна комісія (ревізор)</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Акціонери (акціонер), які (який) на день подання вимоги сукупно є власниками (власником) 10 і більше відсотків голосуючих акцій товариства </w:t>
            </w:r>
          </w:p>
        </w:tc>
        <w:tc>
          <w:tcPr>
            <w:tcW w:w="3000"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3000"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позачерговi збори не скликалися</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0"/>
        <w:gridCol w:w="5000"/>
      </w:tblGrid>
      <w:tr w:rsidR="00F31D3B">
        <w:tblPrEx>
          <w:tblCellMar>
            <w:top w:w="0" w:type="dxa"/>
            <w:bottom w:w="0" w:type="dxa"/>
          </w:tblCellMar>
        </w:tblPrEx>
        <w:trPr>
          <w:trHeight w:val="200"/>
        </w:trPr>
        <w:tc>
          <w:tcPr>
            <w:tcW w:w="5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 разі скликання, але непроведення чергових загальних зборів зазначається причина їх непроведення</w:t>
            </w:r>
          </w:p>
        </w:tc>
        <w:tc>
          <w:tcPr>
            <w:tcW w:w="5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000"/>
        <w:gridCol w:w="5000"/>
      </w:tblGrid>
      <w:tr w:rsidR="00F31D3B">
        <w:tblPrEx>
          <w:tblCellMar>
            <w:top w:w="0" w:type="dxa"/>
            <w:bottom w:w="0" w:type="dxa"/>
          </w:tblCellMar>
        </w:tblPrEx>
        <w:trPr>
          <w:trHeight w:val="200"/>
        </w:trPr>
        <w:tc>
          <w:tcPr>
            <w:tcW w:w="5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 разі скликання, але непроведення позачергових загальних зборів зазначається причина їх непроведення</w:t>
            </w:r>
          </w:p>
        </w:tc>
        <w:tc>
          <w:tcPr>
            <w:tcW w:w="5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4) інформація про наглядову раду та виконавчий орган емітента</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Склад наглядової ради (за наявності) </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000"/>
        <w:gridCol w:w="1600"/>
        <w:gridCol w:w="1500"/>
        <w:gridCol w:w="4900"/>
      </w:tblGrid>
      <w:tr w:rsidR="00F31D3B">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Персональний склад наглядової ради</w:t>
            </w:r>
          </w:p>
        </w:tc>
        <w:tc>
          <w:tcPr>
            <w:tcW w:w="16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Незалежний член наглядової ради</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Залежний член наглядової ради</w:t>
            </w:r>
          </w:p>
        </w:tc>
        <w:tc>
          <w:tcPr>
            <w:tcW w:w="49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Функціональні обов'язки члена наглядової ради</w:t>
            </w:r>
          </w:p>
        </w:tc>
      </w:tr>
      <w:tr w:rsidR="00F31D3B">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Максимчук Лариса Володимирiвна</w:t>
            </w:r>
          </w:p>
        </w:tc>
        <w:tc>
          <w:tcPr>
            <w:tcW w:w="16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49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Голова наглядової ради: 1) органiзує роботу наглядової ради та здiйснює контроль за реалiзацiєю плану роботи, затвердженого наглядовою радою; 2) скликає засiдання наглядової ради та головує на них, затверджує порядок денний засiдань, органiзовує ведення протоколiв засiдань наглядової ради; 3) органiзує роботу зi створення комiтетiв наглядової ради, висування членiв наглядової ради до складу комiтетiв, а також координує дiяльнiсть, зв'язки комiтетiв мiж собою та з iншими </w:t>
            </w:r>
            <w:r>
              <w:rPr>
                <w:rFonts w:ascii="Times New Roman CYR" w:hAnsi="Times New Roman CYR" w:cs="Times New Roman CYR"/>
                <w:sz w:val="24"/>
                <w:szCs w:val="24"/>
              </w:rPr>
              <w:lastRenderedPageBreak/>
              <w:t>органами та посадовими особами Товариства; 4) готує доповiдь та звiтує перед загальними зборами акцiонерiв про дiяльнiсть наглядової ради, загальний стан Товариства та вжитi нею заходи, спрямованi на досягнення мети Товариства; 5) пiдтримує постiйнi контакти iз iншими органами та посадовими особами Товариства. 6) оформляє документи, виданi наглядовою радою та головою наглядової ради та забезпечує їх надання членам наглядової ради та iншим посадовим особам органiв управлiння Товариства; 7) веде протоколи засiдань наглядової ради.</w:t>
            </w:r>
          </w:p>
        </w:tc>
      </w:tr>
      <w:tr w:rsidR="00F31D3B">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Скалицький Анатолiйович Валентинович</w:t>
            </w:r>
          </w:p>
        </w:tc>
        <w:tc>
          <w:tcPr>
            <w:tcW w:w="16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49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Член наглядової ради зобов'язанi: 1) дiяти в iнтересах Товариства, добросовiсно, розумно та не перевищувати своїх повноважень. Обов'язок дiяти добросовiсно i розумно означає необхiднiсть проявляти сумлiннiсть, обачливiсть та належну обережнiсть, якi були б у особи на такiй посадi за подiбних обставин; 2) керуватися у своїй дiяльностi чинним законодавством України, Статутом Товариства, Положенням, iншими внутрiшнiми документами Товариства; 3) виконувати рiшення, прийнятi загальними зборами акцiонерiв та наглядовою радою Товариства; 4) особисто брати участь у рiчних та позачергових загальних зборах акцiонерiв, засiданнях наглядової ради та в роботi комiтетiв наглядової ради. Завчасно повiдомляти про неможливiсть участi у загальних зборах та засiданнях наглядової ради iз зазначенням причини вiдсутностi; 5) дотримуватися встановлених у Товариствi правил та процедур щодо укладання правочинiв, у вчиненнi яких є заiнтересованiсть (конфлiкт iнтересiв); 6) дотримуватися всiх встановлених у Товариствi правил, пов'язаних iз режимом обiгу, безпеки та збереження iнформацiї з обмеженим доступом. Не розголошувати конфiденцiйну та iнсайдерську iнформацiю, яка стала вiдомою у зв'язку iз виконанням функцiй члена наглядової ради, особам, якi не мають доступу до такої iнформацiї, а також використовувати її у своїх iнтересах або в iнтересах третiх осiб; 7) утримуватися вiд дiй, якi можуть призвести до втрати незалежним членом наглядової ради своєї незалежностi. 8) своєчасно надавати </w:t>
            </w:r>
            <w:r>
              <w:rPr>
                <w:rFonts w:ascii="Times New Roman CYR" w:hAnsi="Times New Roman CYR" w:cs="Times New Roman CYR"/>
                <w:sz w:val="24"/>
                <w:szCs w:val="24"/>
              </w:rPr>
              <w:lastRenderedPageBreak/>
              <w:t>загальним зборам акцiонерiв, наглядовiй радi повну i точну iнформацiю про дiяльнiсть та фiнансовий стан Товариства</w:t>
            </w:r>
          </w:p>
        </w:tc>
      </w:tr>
      <w:tr w:rsidR="00F31D3B">
        <w:tblPrEx>
          <w:tblCellMar>
            <w:top w:w="0" w:type="dxa"/>
            <w:bottom w:w="0" w:type="dxa"/>
          </w:tblCellMar>
        </w:tblPrEx>
        <w:trPr>
          <w:trHeight w:val="200"/>
        </w:trPr>
        <w:tc>
          <w:tcPr>
            <w:tcW w:w="2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Лук"янов Вiталiй Олександрович</w:t>
            </w:r>
          </w:p>
        </w:tc>
        <w:tc>
          <w:tcPr>
            <w:tcW w:w="16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49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Член наглядової ради зобов'язанi: 1) дiяти в iнтересах Товариства, добросовiсно, розумно та не перевищувати своїх повноважень. Обов'язок дiяти добросовiсно i розумно означає необхiднiсть проявляти сумлiннiсть, обачливiсть та належну обережнiсть, якi були б у особи на такiй посадi за подiбних обставин; 2) керуватися у своїй дiяльностi чинним законодавством України, Статутом Товариства, Положенням, iншими внутрiшнiми документами Товариства; 3) виконувати рiшення, прийнятi загальними зборами акцiонерiв та наглядовою радою Товариства; 4) особисто брати участь у рiчних та позачергових загальних зборах акцiонерiв, засiданнях наглядової ради та в роботi комiтетiв наглядової ради. Завчасно повiдомляти про неможливiсть участi у загальних зборах та засiданнях наглядової ради iз зазначенням причини вiдсутностi; 5) дотримуватися встановлених у Товариствi правил та процедур щодо укладання правочинiв, у вчиненнi яких є заiнтересованiсть (конфлiкт iнтересiв); 6) дотримуватися всiх встановлених у Товариствi правил, пов'язаних iз режимом обiгу, безпеки та збереження iнформацiї з обмеженим доступом. Не розголошувати конфiденцiйну та iнсайдерську iнформацiю, яка стала вiдомою у зв'язку iз виконанням функцiй члена наглядової ради, особам, якi не мають доступу до такої iнформацiї, а також використовувати її у своїх iнтересах або в iнтересах третiх осiб; 7) утримуватися вiд дiй, якi можуть призвести до втрати незалежним членом наглядової ради своєї незалежностi. 8) своєчасно надавати загальним зборам акцiонерiв, наглядовiй радi повну i точну iнформацiю про дiяльнiсть та фiнансовий стан Товариства</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F31D3B">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проведені засідання наглядової ради, загальний опис прийнятих на них рішень; процедури, що застосовуються при </w:t>
            </w:r>
            <w:r>
              <w:rPr>
                <w:rFonts w:ascii="Times New Roman CYR" w:hAnsi="Times New Roman CYR" w:cs="Times New Roman CYR"/>
                <w:b/>
                <w:bCs/>
                <w:sz w:val="24"/>
                <w:szCs w:val="24"/>
              </w:rPr>
              <w:lastRenderedPageBreak/>
              <w:t>прийнятті наглядовою радою рішень; визначення, як діяльність наглядової ради зумовила зміни у фінансово-господарській діяльності товариства</w:t>
            </w:r>
          </w:p>
        </w:tc>
        <w:tc>
          <w:tcPr>
            <w:tcW w:w="7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ТАК , проводилися.</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По протоколах наглядової ради:</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№71 вiд 28.01.2022р.Прийняте рiшення  про  результати дiяльностi товариства за 4кв.2021р., прийняте рiшення про затвердження рiчного звiту емiтента за 2021рiк.</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№72 вiд 29.04.2022р. Прийняте рiшення про результати дiяльностi товариства за 1кв.2022р.</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№73 вiд 29.07.2022р. Прийняте рiшення про результати дiяльностi товариства за 2кв.2022р.</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№74 вiд 28.10.2022р. Прийняте рiшення про результати дiяльностi товариства за 3кв.2022р.</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Комітети в складі наглядової ради </w:t>
      </w:r>
      <w:r>
        <w:rPr>
          <w:rFonts w:ascii="Times New Roman CYR" w:hAnsi="Times New Roman CYR" w:cs="Times New Roman CYR"/>
          <w:sz w:val="24"/>
          <w:szCs w:val="24"/>
        </w:rPr>
        <w:t>(за наявності)</w:t>
      </w:r>
      <w:r>
        <w:rPr>
          <w:rFonts w:ascii="Times New Roman CYR" w:hAnsi="Times New Roman CYR" w:cs="Times New Roman CYR"/>
          <w:b/>
          <w:bCs/>
          <w:sz w:val="24"/>
          <w:szCs w:val="24"/>
        </w:rPr>
        <w:t>?</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2000"/>
        <w:gridCol w:w="2000"/>
        <w:gridCol w:w="3000"/>
      </w:tblGrid>
      <w:tr w:rsidR="00F31D3B">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30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Персональний склад комітетів</w:t>
            </w:r>
          </w:p>
        </w:tc>
      </w:tr>
      <w:tr w:rsidR="00F31D3B">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питань аудиту</w:t>
            </w: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30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питань призначень</w:t>
            </w: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30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винагород</w:t>
            </w: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30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4000" w:type="dxa"/>
            <w:gridSpan w:val="2"/>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Комiтети не створено</w:t>
            </w:r>
          </w:p>
        </w:tc>
        <w:tc>
          <w:tcPr>
            <w:tcW w:w="30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F31D3B">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Чи проведені засідання комітетів наглядової ради, загальний опис прийнятих на них рішень</w:t>
            </w:r>
          </w:p>
        </w:tc>
        <w:tc>
          <w:tcPr>
            <w:tcW w:w="7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У разі проведення оцінки роботи комітетів зазначається інформація щодо їх компетентності та ефективності</w:t>
            </w:r>
          </w:p>
        </w:tc>
        <w:tc>
          <w:tcPr>
            <w:tcW w:w="7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Інформація про діяльність наглядової ради та оцінка її роботи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F31D3B">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Оцінка роботи наглядової ради</w:t>
            </w:r>
          </w:p>
        </w:tc>
        <w:tc>
          <w:tcPr>
            <w:tcW w:w="7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Загальними зборами акцiонерiв вiд 28.04.2020р. роботу Наглядової ради Товариства визнано задовiльною</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Які з вимог до членів наглядової ради викладені у внутрішніх документах акціонерного товариства?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Галузеві знання і досвід роботи в галузі</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Знання у сфері фінансів і менеджменту</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Особисті якості (чесність, відповідальність)</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Відсутність конфлікту інтересів</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Граничний вік</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Відсутні будь-які вимоги</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Коли останній раз обирався новий член наглядової ради, як він ознайомився зі своїми правами та обов'язками?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Новий член наглядової ради самостійно ознайомився зі змістом внутрішніх документів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Було проведено засідання наглядової ради, на якому нового члена наглядової ради ознайомили з його правами та обов'язками</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Для нового члена наглядової ради було організовано спеціальне навчання (з корпоративного управління або фінансового менеджменту)</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Усіх членів наглядової ради було переобрано на повторний строк або не було обрано нового члена</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000" w:type="dxa"/>
            <w:gridSpan w:val="3"/>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 визначається розмір винагороди членів наглядової ради?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є фіксованою сумою</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є відсотком від чистого прибутку або збільшення ринкової вартості акцій</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Винагорода виплачується у вигляді цінних паперів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Члени наглядової ради не отримують винагороди</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(запишіть)</w:t>
            </w:r>
          </w:p>
        </w:tc>
        <w:tc>
          <w:tcPr>
            <w:tcW w:w="7000" w:type="dxa"/>
            <w:gridSpan w:val="3"/>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Склад виконавчого органу</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F31D3B">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Персональний склад виконавчого органу</w:t>
            </w:r>
          </w:p>
        </w:tc>
        <w:tc>
          <w:tcPr>
            <w:tcW w:w="70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b/>
                <w:bCs/>
                <w:sz w:val="24"/>
                <w:szCs w:val="24"/>
              </w:rPr>
              <w:t>Функціональні обов'язки члена виконавчого органу</w:t>
            </w:r>
          </w:p>
        </w:tc>
      </w:tr>
      <w:tr w:rsidR="00F31D3B">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w:t>
            </w:r>
          </w:p>
        </w:tc>
        <w:tc>
          <w:tcPr>
            <w:tcW w:w="7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До компетенцiї Генерального директора належить вирiшення всiх питань, пов"язаних з керiвництвом поточною дiяльнiстю Товариства, крiм питань, що належать до виключної компетенцiї Загальних зборiв та Наглядової ради.</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Керуватися у своїй дiяльностi чинним законодавством України, Статутом Товариства, актами внутрiшнього регулювання Товариства. </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Директор товариства пiдзвiтний загальним зборам i наглядовi радi, органiзовує виконання їх рiшень.</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Директор дiє вiд iменi товариства у межах, встановлених цим Статутом та чинним законодавством.</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Директор вправi без довiреностi дiяти вiд iменi товариства, в тому числi представляти його iнтереси, вчиняти правочини вiд iменi товариства, видавати накази та давати розпорядження, обов'язковi для виконання всiма працiвниками товариства.</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F31D3B">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lastRenderedPageBreak/>
              <w:t>Чи проведені засідання виконавчого органу: загальний опис прийнятих на них рішень; інформація про результати роботи виконавчого органу; визначення, як діяльність виконавчого органу зумовила зміни у фінансово-господарській діяльності товариства</w:t>
            </w:r>
          </w:p>
        </w:tc>
        <w:tc>
          <w:tcPr>
            <w:tcW w:w="7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Виконавчий орган товариства є  генеральний директор. </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Директор здiйснює управлiння поточною дiяльнiстю товариства.</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Рiшення щодо фiнансово-господарської дiяльностi, прийнятi виконавчим органом (генеральним директором) оформленi вiдповiдними наказами.</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7000"/>
      </w:tblGrid>
      <w:tr w:rsidR="00F31D3B">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Оцінка роботи виконавчого органу</w:t>
            </w:r>
          </w:p>
        </w:tc>
        <w:tc>
          <w:tcPr>
            <w:tcW w:w="7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Загальними зборами акцiонерiв вiд 28.04.2020р. роботу виконавчого органу Товариства визнано задовiльною</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Примітки</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5) опис основних характеристик систем внутрішнього контролю і управління ризиками емітента </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Спецiального документу, яким би описувалися характеристики систем внутрiшнього контролю та управлiння ризиками в Товариствi не створено та не затверджено. Проте при здiйсненнi внутрiшнього контролю використовуються рiзнi методи, вони включають в себе такi елементи, як:</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1)</w:t>
      </w:r>
      <w:r>
        <w:rPr>
          <w:rFonts w:ascii="Times New Roman CYR" w:hAnsi="Times New Roman CYR" w:cs="Times New Roman CYR"/>
          <w:sz w:val="24"/>
          <w:szCs w:val="24"/>
        </w:rPr>
        <w:tab/>
        <w:t>бухгалтерський фiнансовий облiк (iнвентаризацiя i документацiя, рахунки i подвiйний запис);</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2)</w:t>
      </w:r>
      <w:r>
        <w:rPr>
          <w:rFonts w:ascii="Times New Roman CYR" w:hAnsi="Times New Roman CYR" w:cs="Times New Roman CYR"/>
          <w:sz w:val="24"/>
          <w:szCs w:val="24"/>
        </w:rPr>
        <w:tab/>
        <w:t>бухгалтерський управлiнський облiк (розподiл обов'язкiв, нормування витрат);</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3)</w:t>
      </w:r>
      <w:r>
        <w:rPr>
          <w:rFonts w:ascii="Times New Roman CYR" w:hAnsi="Times New Roman CYR" w:cs="Times New Roman CYR"/>
          <w:sz w:val="24"/>
          <w:szCs w:val="24"/>
        </w:rPr>
        <w:tab/>
        <w:t>аудит, контроль,    ревiзiя     (перевiрка     документiв,     перевiрка     вiрностi  арифметичних розрахункiв, перевiрка дотримання правил облiку окремих господарських операцiй, iнвентаризацiя, усне опитування персоналу, пiдтвердження i простежування).</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Всi  перерахованi  вище  методи  становлять  єдину  систему  i  використовуються  в  цiлях управлiння пiдприємством.</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Метою управлiння ризиками є їхня мiнiмiзацiя або мiнiмiзацiя їхнiх наслiдкiв. Наражання на фiнансовi ризики виникає в процесi звичайної дiяльностi Товариства.</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Основнi фiнансовi iнструменти пiдприємства, якi несуть в собi фiнансовi ризики, включають грошовi кошти, дебiторську заборгованiсть, кредиторську заборгованiсть, та пiддаються наступним фiнансовим ризикам:</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ринковий ризик: змiни на ринку можуть iстотно вплинути на активи/зобов'язання.</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Ринковий ризик складається з ризику процентної ставки i цiнового ризику;</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ризик втрати лiквiдностi: товариство може не виконати своїх зобов'язань з причини </w:t>
      </w:r>
      <w:r>
        <w:rPr>
          <w:rFonts w:ascii="Times New Roman CYR" w:hAnsi="Times New Roman CYR" w:cs="Times New Roman CYR"/>
          <w:sz w:val="24"/>
          <w:szCs w:val="24"/>
        </w:rPr>
        <w:lastRenderedPageBreak/>
        <w:t>недостатностi (дефiциту) обiгових коштiв; тож за певних несприятливих обставин, може бути змушене продати свої активи за бiльш низькою цiною, нiж їхня справедлива вартiсть, з метою погашення зобов'язань;</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кредитний ризик: товариство може зазнати збиткiв у разi невиконання фiнансових зобов'язань контрагентами (дебiторами).</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Ринковий ризик</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Всi фiнансовi iнструменти схильнi до ринкового ризику - ризику того, що майбутнi ринковi умови можуть знецiнити iнструмент. Пiдприємство пiддається валютному ризику, тому що у звiтному роцi здiйснювало валютнi операцiї i має валютнi залишки та заборгованостi. Цiновим ризиком є ризик того, що вартiсть фiнансового iнструмента буде змiнюватися внаслiдок змiн ринкових цiн. Цi змiни можуть бути викликанi факторами, характерними для окремого iнструменту або факторами, якi впливають на всi iнструменти ринку. Процентних фiнансових зобов'язань немає. Пiдприємство не пiддається ризику коливання процентних ставок, оскiльки не має  кредитiв.</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Ризик втрати лiквiдностi</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Товариство перiодично проводить монiторинг показникiв лiквiдностi та вживає заходiв, для запобiгання зниження встановлених показникiв лiквiдностi. Товариство має доступ до фiнансування у достатньому обсязi. Пiдприємство здiйснює контроль лiквiдностi, шляхом планування поточної лiквiдностi. Пiдприємство аналiзує термiни платежiв, якi пов'язанi з дебiторською заборгованiстю та iншими фiнансовими активами, а також прогнознi потоки грошових коштiв вiд операцiйної дiяльностi.</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Кредитний ризик</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Пiдприємство схильне до кредитного ризику, який виражається як ризик того, що контрагент</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дебiтор не буде здатний в повному обсязi i в певний час погасити свої зобов'язання. Кредитний ризик регулярно контролюється. Управлiння кредитним ризиком здiйснюється, в основному, за допомогою аналiзу здатностi контрагента сплатити заборгованiсть. Пiдприємство укладає угоди виключно з вiдомими та фiнансово стабiльними сторонами. Кредитний ризик стосується дебiторської заборгованостi. </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Крiм зазначених вище, суттєвий вплив на дiяльнiсть Товариства можуть мати такi зовнiшнi ризики, як:</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нестабiльнiсть, суперечливiсть законодавства;</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непередбаченi дiї державних органiв;</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нестабiльнiсть економiчної (фiнансової, податкової, зовнiшньоекономiчної i iн.) полiтики;</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непередбачена змiна кон'юнктури внутрiшнього i зовнiшнього ринку;</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непередбаченi дiї конкурентiв.</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Служби з внутрiшнього контролю та управлiння ризиками не створено. Менеджмент приймає рiшення з мiнiмазацiї ризикiв, спираючись на власнi знання та досвiд, та застосовуючи наявнi ресурси.</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 </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створено у вашому акціонерному товаристві ревізійну комісію або введено посаду ревізора? (так, створено ревізійну комісію / так, введено посаду ревізора / ні)  </w:t>
      </w:r>
      <w:r>
        <w:rPr>
          <w:rFonts w:ascii="Times New Roman CYR" w:hAnsi="Times New Roman CYR" w:cs="Times New Roman CYR"/>
          <w:sz w:val="24"/>
          <w:szCs w:val="24"/>
          <w:u w:val="single"/>
        </w:rPr>
        <w:t>так, введено посаду ревізора</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Якщо в товаристві створено ревізійну комісію: </w:t>
      </w: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 xml:space="preserve">Кількість членів ревізійної комісії </w:t>
      </w:r>
      <w:r>
        <w:rPr>
          <w:rFonts w:ascii="Times New Roman CYR" w:hAnsi="Times New Roman CYR" w:cs="Times New Roman CYR"/>
          <w:sz w:val="24"/>
          <w:szCs w:val="24"/>
          <w:u w:val="single"/>
        </w:rPr>
        <w:t>0</w:t>
      </w:r>
      <w:r>
        <w:rPr>
          <w:rFonts w:ascii="Times New Roman CYR" w:hAnsi="Times New Roman CYR" w:cs="Times New Roman CYR"/>
          <w:b/>
          <w:bCs/>
          <w:sz w:val="24"/>
          <w:szCs w:val="24"/>
        </w:rPr>
        <w:t xml:space="preserve"> осіб.</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Скільки разів на рік у середньому відбувалися засідання ревізійної комісії протягом останніх трьох років?  </w:t>
      </w:r>
      <w:r>
        <w:rPr>
          <w:rFonts w:ascii="Times New Roman CYR" w:hAnsi="Times New Roman CYR" w:cs="Times New Roman CYR"/>
          <w:sz w:val="24"/>
          <w:szCs w:val="24"/>
          <w:u w:val="single"/>
        </w:rPr>
        <w:t>1</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Відповідно до статуту вашого акціонерного товариства, до компетенції якого з органів (загальних зборів акціонерів, наглядової ради чи виконавчого органу) належить вирішення кожного з цих питань?</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4884"/>
        <w:gridCol w:w="1057"/>
        <w:gridCol w:w="1232"/>
        <w:gridCol w:w="1155"/>
        <w:gridCol w:w="1672"/>
      </w:tblGrid>
      <w:tr w:rsidR="00F31D3B">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057"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Загальні збори акціонерів</w:t>
            </w:r>
          </w:p>
        </w:tc>
        <w:tc>
          <w:tcPr>
            <w:tcW w:w="1232"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Наглядова рада</w:t>
            </w:r>
          </w:p>
        </w:tc>
        <w:tc>
          <w:tcPr>
            <w:tcW w:w="1155"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Виконавчий орган</w:t>
            </w:r>
          </w:p>
        </w:tc>
        <w:tc>
          <w:tcPr>
            <w:tcW w:w="167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Не належить до компетенції жодного органу</w:t>
            </w:r>
          </w:p>
        </w:tc>
      </w:tr>
      <w:tr w:rsidR="00F31D3B">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Визначення основних напрямів діяльності (стратегії)</w:t>
            </w:r>
          </w:p>
        </w:tc>
        <w:tc>
          <w:tcPr>
            <w:tcW w:w="1057"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планів діяльності (бізнес-планів)</w:t>
            </w:r>
          </w:p>
        </w:tc>
        <w:tc>
          <w:tcPr>
            <w:tcW w:w="1057"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F31D3B">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річного фінансового звіту, або балансу, або бюджету</w:t>
            </w:r>
          </w:p>
        </w:tc>
        <w:tc>
          <w:tcPr>
            <w:tcW w:w="1057"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та припинення повноважень голови та членів виконавчого органу</w:t>
            </w:r>
          </w:p>
        </w:tc>
        <w:tc>
          <w:tcPr>
            <w:tcW w:w="1057"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та припинення повноважень голови та членів наглядової ради</w:t>
            </w:r>
          </w:p>
        </w:tc>
        <w:tc>
          <w:tcPr>
            <w:tcW w:w="1057"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Обрання та припинення повноважень голови та членів ревізійної комісії</w:t>
            </w:r>
          </w:p>
        </w:tc>
        <w:tc>
          <w:tcPr>
            <w:tcW w:w="1057"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Визначення розміру винагороди для голови та членів виконавчого органу</w:t>
            </w:r>
          </w:p>
        </w:tc>
        <w:tc>
          <w:tcPr>
            <w:tcW w:w="1057"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Визначення розміру винагороди для голови та членів наглядової ради</w:t>
            </w:r>
          </w:p>
        </w:tc>
        <w:tc>
          <w:tcPr>
            <w:tcW w:w="1057"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рішення про притягнення до майнової відповідальності членів виконавчого органу</w:t>
            </w:r>
          </w:p>
        </w:tc>
        <w:tc>
          <w:tcPr>
            <w:tcW w:w="1057"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F31D3B">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рішення про додаткову емісію акцій</w:t>
            </w:r>
          </w:p>
        </w:tc>
        <w:tc>
          <w:tcPr>
            <w:tcW w:w="1057"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F31D3B">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Прийняття рішення про викуп, реалізацію та розміщення власних акцій</w:t>
            </w:r>
          </w:p>
        </w:tc>
        <w:tc>
          <w:tcPr>
            <w:tcW w:w="1057"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232"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зовнішнього аудитора</w:t>
            </w:r>
          </w:p>
        </w:tc>
        <w:tc>
          <w:tcPr>
            <w:tcW w:w="1057"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155"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67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4884"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Затвердження договорів, щодо яких існує конфлікт інтересів</w:t>
            </w:r>
          </w:p>
        </w:tc>
        <w:tc>
          <w:tcPr>
            <w:tcW w:w="1057"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232"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155"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67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містить статут акціонерного товариства положення, яке обмежує повноваження </w:t>
      </w:r>
      <w:r>
        <w:rPr>
          <w:rFonts w:ascii="Times New Roman CYR" w:hAnsi="Times New Roman CYR" w:cs="Times New Roman CYR"/>
          <w:b/>
          <w:bCs/>
          <w:sz w:val="24"/>
          <w:szCs w:val="24"/>
        </w:rPr>
        <w:lastRenderedPageBreak/>
        <w:t xml:space="preserve">виконавчого органу приймати рішення про укладення договорів, враховуючи їх суму, від імені акціонерного товариства? (так/ні)  </w:t>
      </w:r>
      <w:r>
        <w:rPr>
          <w:rFonts w:ascii="Times New Roman CYR" w:hAnsi="Times New Roman CYR" w:cs="Times New Roman CYR"/>
          <w:sz w:val="24"/>
          <w:szCs w:val="24"/>
          <w:u w:val="single"/>
        </w:rPr>
        <w:t>ні</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містить статут або внутрішні документи акціонерного товариства положення про конфлікт інтересів, тобто суперечність між особистими інтересами посадової особи або пов'язаних з нею осіб та обов'язком діяти в інтересах акціонерного товариства?(так/ні)  </w:t>
      </w:r>
      <w:r>
        <w:rPr>
          <w:rFonts w:ascii="Times New Roman CYR" w:hAnsi="Times New Roman CYR" w:cs="Times New Roman CYR"/>
          <w:sz w:val="24"/>
          <w:szCs w:val="24"/>
          <w:u w:val="single"/>
        </w:rPr>
        <w:t>ні</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Які документи існують у вашому акціонерному товаристві?</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00"/>
        <w:gridCol w:w="4000"/>
        <w:gridCol w:w="1500"/>
        <w:gridCol w:w="1500"/>
      </w:tblGrid>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загальні збори акціонерів</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наглядову раду</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виконавчий орган</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посадових осіб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ревізійну комісію (або ревізора)</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Положення про порядок розподілу прибутку</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3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(запишіть)</w:t>
            </w:r>
          </w:p>
        </w:tc>
        <w:tc>
          <w:tcPr>
            <w:tcW w:w="7000" w:type="dxa"/>
            <w:gridSpan w:val="3"/>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 акціонери можуть отримати інформацію про діяльність вашого акціонерного товариства?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500"/>
        <w:gridCol w:w="1500"/>
        <w:gridCol w:w="2000"/>
        <w:gridCol w:w="1500"/>
        <w:gridCol w:w="1000"/>
        <w:gridCol w:w="1500"/>
      </w:tblGrid>
      <w:tr w:rsidR="00F31D3B">
        <w:tblPrEx>
          <w:tblCellMar>
            <w:top w:w="0" w:type="dxa"/>
            <w:bottom w:w="0" w:type="dxa"/>
          </w:tblCellMar>
        </w:tblPrEx>
        <w:trPr>
          <w:trHeight w:val="182"/>
        </w:trPr>
        <w:tc>
          <w:tcPr>
            <w:tcW w:w="25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Інформація про діяльність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Інформація розповсюджується на загальних зборах</w:t>
            </w: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Інформація оприлюднюється в загальнодоступній інформаційній базі даних Національної комісії з цінних паперів та фондового ринку про ринок цінних паперів або через особу, яка провадить діяльність з оприлюднення регульованої інформації від імені учасників фондового ринку</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Документи надаються для ознайомлення безпосередньо в акціонерному товаристві</w:t>
            </w:r>
          </w:p>
        </w:tc>
        <w:tc>
          <w:tcPr>
            <w:tcW w:w="1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Копії документів надаються на запит акціонера</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Інформація розміщується на власному веб-сайті акціонерного товариства</w:t>
            </w:r>
          </w:p>
        </w:tc>
      </w:tr>
      <w:tr w:rsidR="00F31D3B">
        <w:tblPrEx>
          <w:tblCellMar>
            <w:top w:w="0" w:type="dxa"/>
            <w:bottom w:w="0" w:type="dxa"/>
          </w:tblCellMar>
        </w:tblPrEx>
        <w:trPr>
          <w:trHeight w:val="182"/>
        </w:trPr>
        <w:tc>
          <w:tcPr>
            <w:tcW w:w="25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Фінансова звітність, результати діяльності</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F31D3B">
        <w:tblPrEx>
          <w:tblCellMar>
            <w:top w:w="0" w:type="dxa"/>
            <w:bottom w:w="0" w:type="dxa"/>
          </w:tblCellMar>
        </w:tblPrEx>
        <w:trPr>
          <w:trHeight w:val="182"/>
        </w:trPr>
        <w:tc>
          <w:tcPr>
            <w:tcW w:w="25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акціонерів, які володіють 5 та більше відсотками голосуючих акцій</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F31D3B">
        <w:tblPrEx>
          <w:tblCellMar>
            <w:top w:w="0" w:type="dxa"/>
            <w:bottom w:w="0" w:type="dxa"/>
          </w:tblCellMar>
        </w:tblPrEx>
        <w:trPr>
          <w:trHeight w:val="182"/>
        </w:trPr>
        <w:tc>
          <w:tcPr>
            <w:tcW w:w="25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Інформація про склад органів управління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F31D3B">
        <w:tblPrEx>
          <w:tblCellMar>
            <w:top w:w="0" w:type="dxa"/>
            <w:bottom w:w="0" w:type="dxa"/>
          </w:tblCellMar>
        </w:tblPrEx>
        <w:trPr>
          <w:trHeight w:val="182"/>
        </w:trPr>
        <w:tc>
          <w:tcPr>
            <w:tcW w:w="25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 xml:space="preserve">Протоколи загальних </w:t>
            </w:r>
            <w:r>
              <w:rPr>
                <w:rFonts w:ascii="Times New Roman CYR" w:hAnsi="Times New Roman CYR" w:cs="Times New Roman CYR"/>
                <w:sz w:val="24"/>
                <w:szCs w:val="24"/>
              </w:rPr>
              <w:lastRenderedPageBreak/>
              <w:t>зборів акціонерів після їх проведення</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lastRenderedPageBreak/>
              <w:t>так</w:t>
            </w: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r>
      <w:tr w:rsidR="00F31D3B">
        <w:tblPrEx>
          <w:tblCellMar>
            <w:top w:w="0" w:type="dxa"/>
            <w:bottom w:w="0" w:type="dxa"/>
          </w:tblCellMar>
        </w:tblPrEx>
        <w:trPr>
          <w:trHeight w:val="182"/>
        </w:trPr>
        <w:tc>
          <w:tcPr>
            <w:tcW w:w="25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lastRenderedPageBreak/>
              <w:t>Розмір винагороди посадових осіб акціонерного товариства</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b/>
          <w:bCs/>
          <w:sz w:val="24"/>
          <w:szCs w:val="24"/>
        </w:rPr>
        <w:t xml:space="preserve">Чи готує акціонерне товариство фінансову звітність у відповідності до міжнародних стандартів фінансової звітності? (так/ні)  </w:t>
      </w:r>
      <w:r>
        <w:rPr>
          <w:rFonts w:ascii="Times New Roman CYR" w:hAnsi="Times New Roman CYR" w:cs="Times New Roman CYR"/>
          <w:sz w:val="24"/>
          <w:szCs w:val="24"/>
          <w:u w:val="single"/>
        </w:rPr>
        <w:t>ні</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Скільки разів проводилися аудиторські перевірки акціонерного товариства незалежним аудитором (аудиторською фірмою) протягом звітного періоду?</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7000"/>
        <w:gridCol w:w="1500"/>
        <w:gridCol w:w="1500"/>
      </w:tblGrid>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Не проводились взагалі</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Раз на рік</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70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Частіше ніж раз на рік</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Який орган приймав рішення про затвердження незалежного аудитора (аудиторської фірми)?</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500"/>
        <w:gridCol w:w="4500"/>
        <w:gridCol w:w="1500"/>
        <w:gridCol w:w="1500"/>
      </w:tblGrid>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Загальні збори акціонерів</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Наглядова рада</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25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500" w:type="dxa"/>
            <w:gridSpan w:val="3"/>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З ініціативи якого органу ревізійна комісія (ревізор) проводила (проводив) перевірку востаннє?</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2500"/>
        <w:gridCol w:w="4500"/>
        <w:gridCol w:w="1500"/>
        <w:gridCol w:w="1500"/>
      </w:tblGrid>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Так</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Ні</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 власної ініціативи</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 дорученням загальних зборів</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 дорученням наглядової ради</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За зверненням виконавчого органу</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7000" w:type="dxa"/>
            <w:gridSpan w:val="2"/>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На вимогу акціонерів, які в сукупності володіють понад та більше 10 відсотками голосуючих акцій</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15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X</w:t>
            </w:r>
          </w:p>
        </w:tc>
      </w:tr>
      <w:tr w:rsidR="00F31D3B">
        <w:tblPrEx>
          <w:tblCellMar>
            <w:top w:w="0" w:type="dxa"/>
            <w:bottom w:w="0" w:type="dxa"/>
          </w:tblCellMar>
        </w:tblPrEx>
        <w:trPr>
          <w:trHeight w:val="200"/>
        </w:trPr>
        <w:tc>
          <w:tcPr>
            <w:tcW w:w="250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Інше (зазначити)</w:t>
            </w:r>
          </w:p>
        </w:tc>
        <w:tc>
          <w:tcPr>
            <w:tcW w:w="7500" w:type="dxa"/>
            <w:gridSpan w:val="3"/>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r>
              <w:rPr>
                <w:rFonts w:ascii="Times New Roman CYR" w:hAnsi="Times New Roman CYR" w:cs="Times New Roman CYR"/>
                <w:sz w:val="24"/>
                <w:szCs w:val="24"/>
              </w:rPr>
              <w:t>-</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6) перелік осіб, які прямо або опосередковано є власниками значного пакета акцій емітента</w:t>
      </w: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p>
    <w:tbl>
      <w:tblPr>
        <w:tblW w:w="0" w:type="auto"/>
        <w:tblInd w:w="216" w:type="dxa"/>
        <w:tblBorders>
          <w:top w:val="single" w:sz="6" w:space="0" w:color="auto"/>
          <w:left w:val="single" w:sz="6" w:space="0" w:color="auto"/>
          <w:bottom w:val="single" w:sz="6" w:space="0" w:color="auto"/>
          <w:right w:val="single" w:sz="6" w:space="0" w:color="auto"/>
        </w:tblBorders>
        <w:tblLayout w:type="fixed"/>
        <w:tblLook w:val="0000"/>
      </w:tblPr>
      <w:tblGrid>
        <w:gridCol w:w="892"/>
        <w:gridCol w:w="4000"/>
        <w:gridCol w:w="3000"/>
        <w:gridCol w:w="2000"/>
      </w:tblGrid>
      <w:tr w:rsidR="00F31D3B">
        <w:tblPrEx>
          <w:tblCellMar>
            <w:top w:w="0" w:type="dxa"/>
            <w:bottom w:w="0" w:type="dxa"/>
          </w:tblCellMar>
        </w:tblPrEx>
        <w:trPr>
          <w:trHeight w:val="200"/>
        </w:trPr>
        <w:tc>
          <w:tcPr>
            <w:tcW w:w="892"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з/п</w:t>
            </w:r>
          </w:p>
        </w:tc>
        <w:tc>
          <w:tcPr>
            <w:tcW w:w="4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Повне найменування юридичної особи - власника (власників) або прізвище, ім'я, по батькові (за наявності) фізичної особи - власника (власників) значного пакета акцій</w:t>
            </w:r>
          </w:p>
        </w:tc>
        <w:tc>
          <w:tcPr>
            <w:tcW w:w="3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 xml:space="preserve">Ідентифікаційний код згідно з Єдиним державним реєстром юридичних осіб, фізичних осіб - підприємців та громадських формувань (для юридичної особи - резидента), код/номер з торговельного, банківського чи судового </w:t>
            </w:r>
            <w:r>
              <w:rPr>
                <w:rFonts w:ascii="Times New Roman CYR" w:hAnsi="Times New Roman CYR" w:cs="Times New Roman CYR"/>
                <w:b/>
                <w:bCs/>
                <w:sz w:val="24"/>
                <w:szCs w:val="24"/>
              </w:rPr>
              <w:lastRenderedPageBreak/>
              <w:t>реєстру, реєстраційного посвідчення місцевого органу влади іноземної держави про реєстрацію юридичної особи (для юридичної особи - нерезидента)</w:t>
            </w:r>
          </w:p>
        </w:tc>
        <w:tc>
          <w:tcPr>
            <w:tcW w:w="20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Розмір частки акціонера (власника) (у відсотках до статутного капіталу)</w:t>
            </w:r>
          </w:p>
        </w:tc>
      </w:tr>
      <w:tr w:rsidR="00F31D3B">
        <w:tblPrEx>
          <w:tblCellMar>
            <w:top w:w="0" w:type="dxa"/>
            <w:bottom w:w="0" w:type="dxa"/>
          </w:tblCellMar>
        </w:tblPrEx>
        <w:trPr>
          <w:trHeight w:val="200"/>
        </w:trPr>
        <w:tc>
          <w:tcPr>
            <w:tcW w:w="892"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lastRenderedPageBreak/>
              <w:t>1</w:t>
            </w:r>
          </w:p>
        </w:tc>
        <w:tc>
          <w:tcPr>
            <w:tcW w:w="4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Антоняк Володимир Михайлович</w:t>
            </w:r>
          </w:p>
        </w:tc>
        <w:tc>
          <w:tcPr>
            <w:tcW w:w="3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50,6</w:t>
            </w:r>
          </w:p>
        </w:tc>
      </w:tr>
      <w:tr w:rsidR="00F31D3B">
        <w:tblPrEx>
          <w:tblCellMar>
            <w:top w:w="0" w:type="dxa"/>
            <w:bottom w:w="0" w:type="dxa"/>
          </w:tblCellMar>
        </w:tblPrEx>
        <w:trPr>
          <w:trHeight w:val="200"/>
        </w:trPr>
        <w:tc>
          <w:tcPr>
            <w:tcW w:w="892"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w:t>
            </w:r>
          </w:p>
        </w:tc>
        <w:tc>
          <w:tcPr>
            <w:tcW w:w="4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Лук'янова Марiя Iванiвна</w:t>
            </w:r>
          </w:p>
        </w:tc>
        <w:tc>
          <w:tcPr>
            <w:tcW w:w="3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22,7</w:t>
            </w:r>
          </w:p>
        </w:tc>
      </w:tr>
      <w:tr w:rsidR="00F31D3B">
        <w:tblPrEx>
          <w:tblCellMar>
            <w:top w:w="0" w:type="dxa"/>
            <w:bottom w:w="0" w:type="dxa"/>
          </w:tblCellMar>
        </w:tblPrEx>
        <w:trPr>
          <w:trHeight w:val="200"/>
        </w:trPr>
        <w:tc>
          <w:tcPr>
            <w:tcW w:w="892"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3</w:t>
            </w:r>
          </w:p>
        </w:tc>
        <w:tc>
          <w:tcPr>
            <w:tcW w:w="4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Лук"янов Вiталiй Олександрович</w:t>
            </w:r>
          </w:p>
        </w:tc>
        <w:tc>
          <w:tcPr>
            <w:tcW w:w="3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c>
          <w:tcPr>
            <w:tcW w:w="2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9,4</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r>
        <w:rPr>
          <w:rFonts w:ascii="Times New Roman CYR" w:hAnsi="Times New Roman CYR" w:cs="Times New Roman CYR"/>
          <w:b/>
          <w:bCs/>
          <w:sz w:val="24"/>
          <w:szCs w:val="24"/>
        </w:rPr>
        <w:t>7) інформація про будь-які обмеження прав участі та голосування акціонерів (учасників) на загальних зборах емітента</w:t>
      </w:r>
    </w:p>
    <w:p w:rsidR="00F31D3B" w:rsidRDefault="00F31D3B">
      <w:pPr>
        <w:widowControl w:val="0"/>
        <w:autoSpaceDE w:val="0"/>
        <w:autoSpaceDN w:val="0"/>
        <w:adjustRightInd w:val="0"/>
        <w:spacing w:after="0" w:line="240" w:lineRule="auto"/>
        <w:rPr>
          <w:rFonts w:ascii="Times New Roman CYR" w:hAnsi="Times New Roman CYR" w:cs="Times New Roman CYR"/>
          <w:b/>
          <w:bCs/>
          <w:sz w:val="24"/>
          <w:szCs w:val="24"/>
        </w:rPr>
      </w:pPr>
    </w:p>
    <w:tbl>
      <w:tblPr>
        <w:tblW w:w="0" w:type="auto"/>
        <w:tblInd w:w="216" w:type="dxa"/>
        <w:tblBorders>
          <w:top w:val="single" w:sz="6" w:space="0" w:color="auto"/>
          <w:left w:val="single" w:sz="6" w:space="0" w:color="auto"/>
          <w:bottom w:val="single" w:sz="6" w:space="0" w:color="auto"/>
          <w:right w:val="single" w:sz="6" w:space="0" w:color="auto"/>
        </w:tblBorders>
        <w:tblLayout w:type="fixed"/>
        <w:tblLook w:val="0000"/>
      </w:tblPr>
      <w:tblGrid>
        <w:gridCol w:w="1892"/>
        <w:gridCol w:w="2000"/>
        <w:gridCol w:w="4000"/>
        <w:gridCol w:w="2000"/>
      </w:tblGrid>
      <w:tr w:rsidR="00F31D3B">
        <w:tblPrEx>
          <w:tblCellMar>
            <w:top w:w="0" w:type="dxa"/>
            <w:bottom w:w="0" w:type="dxa"/>
          </w:tblCellMar>
        </w:tblPrEx>
        <w:trPr>
          <w:trHeight w:val="200"/>
        </w:trPr>
        <w:tc>
          <w:tcPr>
            <w:tcW w:w="1892"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Загальна кількість акцій</w:t>
            </w: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Кількість акцій з обмеженнями</w:t>
            </w:r>
          </w:p>
        </w:tc>
        <w:tc>
          <w:tcPr>
            <w:tcW w:w="4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Підстава виникнення обмеження</w:t>
            </w:r>
          </w:p>
        </w:tc>
        <w:tc>
          <w:tcPr>
            <w:tcW w:w="20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Дата виникнення обмеження</w:t>
            </w:r>
          </w:p>
        </w:tc>
      </w:tr>
      <w:tr w:rsidR="00F31D3B">
        <w:tblPrEx>
          <w:tblCellMar>
            <w:top w:w="0" w:type="dxa"/>
            <w:bottom w:w="0" w:type="dxa"/>
          </w:tblCellMar>
        </w:tblPrEx>
        <w:trPr>
          <w:trHeight w:val="200"/>
        </w:trPr>
        <w:tc>
          <w:tcPr>
            <w:tcW w:w="1892"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695 000</w:t>
            </w: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105 353</w:t>
            </w:r>
          </w:p>
        </w:tc>
        <w:tc>
          <w:tcPr>
            <w:tcW w:w="4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У голосуваннi на загальних зборах акцiонерiв мають право акцiонери, якi є власниками голосуючих акцiй та якi вiдповiдно до чинного законодавства здiйснили вiдповiднi дiї щодо вiдкриття рахунку в цiнних паперах у депозитарнiй установi та зарахування акцiй на свiй рахунок.  Акцiонери, якi не здiйснили зазначених дiй право голосу за акцiями обмежено. Обмеження прав участi у загальних зборах не має.</w:t>
            </w:r>
          </w:p>
        </w:tc>
        <w:tc>
          <w:tcPr>
            <w:tcW w:w="2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r w:rsidR="00F31D3B">
        <w:tblPrEx>
          <w:tblCellMar>
            <w:top w:w="0" w:type="dxa"/>
            <w:bottom w:w="0" w:type="dxa"/>
          </w:tblCellMar>
        </w:tblPrEx>
        <w:trPr>
          <w:trHeight w:val="200"/>
        </w:trPr>
        <w:tc>
          <w:tcPr>
            <w:tcW w:w="1892"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r>
              <w:rPr>
                <w:rFonts w:ascii="Times New Roman CYR" w:hAnsi="Times New Roman CYR" w:cs="Times New Roman CYR"/>
                <w:sz w:val="24"/>
                <w:szCs w:val="24"/>
              </w:rPr>
              <w:t>Опис</w:t>
            </w:r>
          </w:p>
        </w:tc>
        <w:tc>
          <w:tcPr>
            <w:tcW w:w="8000" w:type="dxa"/>
            <w:gridSpan w:val="3"/>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4"/>
                <w:szCs w:val="24"/>
              </w:rPr>
            </w:pP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8) порядок призначення та звільнення посадових осіб емітента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Наглядова рада обирається Загальними зборами акцiонерiв Товариства  складається з трьох осiб, якi обираються строком на три роки.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Обрання членiв Наглядової ради здiйснюється в порядку визначеному Статутом Товариства. Одна i та сама особа може неодноразово обиратися до складу Наглядової ради.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складу Наглядової ради  не можуть входити члени Правлiння або Ревiзiйної комiсiї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Члени Наглядової ради здiйснюють свої повноваження на пiдставi договору з Товариством. Вiд iменi Товариства договiр пiдписує Генеральний директор або особа уповноважена на те Загальними зборами. У договорi з членом Наглядової ради передбачається виплата йому винагороди та порядок сплати Товариством за нього внескiв загальнообов'язкове державне пенсiйне страхування.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Якщо кiлькiсть членiв наглядової ради становить менше трьох осiб, Товариство протягом трьох мiсяцiв скликає позачерговi Загальнi збори для обрання нового складу Наглядової ради. Повноваження щодо пiдготовки Загальних зборiв в цьому випадку покладаються на Правлiння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Голова наглядової ради товариства обирається членами Наглядової ради з їх числа простою бiльшiстю голосiв вiд кiлькiсного складу наглядової ради. Наглядова рада має право в будь-який час переобрати Голову Наглядової ради.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Голова Наглядової ради: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органiзовує роботу Наглядової ради;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скликає та проводить засiдання Наглядової ради;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представляє Наглядову раду на Загальних Зборах Товариства, засiданнях Правлiння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вiдкриває Загальнi збори, органiзовує обрання секретаря Загальних зборiв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пiдписує документи вiд iменi Наглядової ради.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органiзує ведення протоколу засiдань Наглядової ради;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повiдомляє iншi органи Товариства та адресатiв про рiшення та висновки Наглядової ради;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забезпечує зберiгання документiв Наглядової ради;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здiйснює iншi повноваження, передбаченi Статутом, цим Положенням та законодавством України.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разi неможливостi виконання Головою Наглядової ради своїх повноважень його повноваження здiйснює один iз членiв Наглядової ради за її рiшенням, якщо iнше не передбачено Статутом або положенням про наглядову раду акцiонерного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Повноваження Голови та членiв Наглядової ради закiнчуються в момент закiнчення повноважень Наглядової ради.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Члени Наглядової ради виконують свої обов'язки з моменту затвердження її складу до закiнчення строку повноважень Наглядової ради, за виключенням випадкiв дострокового припинення повноважень.</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Загальнi збори акцiонерiв Товариства можуть прийняти рiшення про дострокове припинення повноважень членiв Наглядової ради та одночасне нового складу Наглядової ради. Таке рiшення приймається Загальними зборами у разi:</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змiни власника контрольного пакету акцiй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якщо кiлькiсть членiв Наглядової ради становить менше трьох осiб;</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 пропозицiєю акцiонерiв, якi володiють п'ятдесятьма i бiльше вiдсотками акцiй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встановлення факту спричинення шкоди Товариству внаслiдок винних дiй членiв Наглядової ради.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Без рiшення Загальних зборiв повноваження члена Наглядової ради з одночасним припиненням вiдповiдного договору припиняються: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 його бажанням за умови письмового повiдомлення про це Товариства за два тижнi до запланованої дати припинення;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 разi неможливостi виконання обов'язкiв члена Наглядової ради за станом здоров'я;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 разi набрання законної сили вироком чи рiшенням суду, яким його засуджено до покарання, що виключає можливiсть виконання обов'язкiв члена Наглядової ради;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 разi смертi, визнання його недiєздатним, обмежено дiєздатним, безвiсно вiдсутнiм, померлим.</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Для проведення перевiрки фiнансово-господарської дiяльностi акцiонерного товариства загальнi збори можуть обирати ревiзора.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Ревiзор обирається Загальними Зборами з числа фiзичних осiб, якi мають цивiльну дiєздатнiсть   виключно шляхом кумулятивного голосування.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 Ревiзор обирається строком на 3 (три) роки. Встановлення iншого строку повноважень Ревiзора можливе лише пiсля внесення вiдповiдних змiн до цього Положення. в будь-якому разi максимальний строк повноважень Ревiзора не може перевищувати 5 (п'ять) рокiв.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Загальнi Збори акцiонерiв Товариства простою бiльшiстю голосiв у будь-який час можуть прийняти рiшення про дострокове припинення повноважень Ревiзора.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Повноваження Ревiзора припиняються Загальними Зборами з одночасним припиненням </w:t>
      </w:r>
      <w:r>
        <w:rPr>
          <w:rFonts w:ascii="Times New Roman CYR" w:hAnsi="Times New Roman CYR" w:cs="Times New Roman CYR"/>
          <w:sz w:val="24"/>
          <w:szCs w:val="24"/>
        </w:rPr>
        <w:lastRenderedPageBreak/>
        <w:t xml:space="preserve">вiдповiдного договору з Ревiзором, за наявностi однiєї з таких пiдстав: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незадовiльної оцiнки його дiяльностi Загальними Зборами за пiдсумками роботи за рiк;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систематичного невиконання Ревiзором обов'язкiв, покладених на нього згiдно договору.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Повноваження Ревiзора також припиняються з одночасним припиненням вiдповiдного договору, в наступних випадках: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 xml:space="preserve">за бажанням Ревiзора за умови письмового повiдомлення про це Товариство за два тижнi - повноваження припиняються пiсля перебiгу двотижневого термiну з дати одержання Товариством вiдповiдної письмової заяви;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у разi неможливостi виконання обов'язкiв Ревiзора за станом здоров'я - повноваження припиняються з дати одержання Товариством письмової заяви Ревiзора. У разi неможливостi пiдписання Ревiзором такої заяви - повноваження припиняються з дати одержання Товариством вiдповiдного документа вiд медичної установи;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 xml:space="preserve">у разi набрання законної сили вироком або рiшенням суду, згiдно якого Ревiзора засуджено до позбавлення або обмеження волi - повноваження припиняються з дати набрання законної сили вироком чи рiшенням суду;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у разi смертi, визнання його недiєздатним, обмежено дiєздатним, безвiсно вiдсутнiм, померлим - повноваження припиняються з дати одержання Товариством вiдповiдного документа, що згiдно з чинним законодавством встановлює такий факт.</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Права та обов'язки Ревiзора визначаються Статутом Товариства,  Положенням, законодавством України, а також договором, що укладається з Ревiзором. Такi договори вiд iменi Товариства пiдписуються Головою Правлiння Товариства чи iншою уповноваженою Загальними Зборами особою на iнших умовах, що затверджуються Загальними Зборами. Дiя договору з Ревiзором припиняється у разi припинення повноважень Ревiзора.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9) повноваження посадових осіб емітента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Генеральний директор є виконавчим органом Товариства, який здiйснює управлiння його поточною дiяльнiстю та органiзовує виконання рiшень Загальних зборiв акцiонерiв та Наглядової ради Товариства.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Генеральний директор дiє вiд iменi Товариства у межах повноважень, передбачених чинним законодавством, Статутом Товариства та цим Положенням, i є пiдзвiтним Загальним зборам i Наглядовiй радi.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У своїй дiяльностi Генеральний директор керується чинним законодавством України, Статутом Товариства, Положенням, внутрiшнiми документами Товариства та рiшеннями, прийнятими Загальними зборами та Наглядовою радою.</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 вирiшує всi питання дiяльностi Товариства, крiм тих, що вiднесенi до компетенцiї iнших органiв управлiння та контролю Товариства. Повноваження, що не є виключною компетенцiєю Наглядової ради, можуть бути переданi Наглядовою радою до компетенцiї Генерального директора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Генеральний директор має право: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 межах визначених повноважень самостiйно вирiшувати питання поточної дiяльностi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Отримувати повну, достовiрну та своєчасну iнформацiю про Товариство, необхiдну для виконання своїх функцiй.</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Дiяти вiд iменi Товариства без довiреностi.</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Вносити пропозицiї, брати участь в обговореннi та голосувати з питань порядку денного Загальних  зборiв.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Iнiцiювати скликання позачергових Загальних зборiв.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Отримувати справедливу винагороду за виконання функцiй, розмiр якої встановлюється Наглядовою радою.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Генеральний директор зобов'язаний: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w:t>
      </w:r>
      <w:r>
        <w:rPr>
          <w:rFonts w:ascii="Times New Roman CYR" w:hAnsi="Times New Roman CYR" w:cs="Times New Roman CYR"/>
          <w:sz w:val="24"/>
          <w:szCs w:val="24"/>
        </w:rPr>
        <w:tab/>
        <w:t>Дiяти в iнтересах Товариства добросовiсно, розумно та не перевищувати своїх повноважень.</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Керуватися у своїй дiяльностi чинним законодавством України, Статутом Товариства, цим Положенням, актами внутрiшнього регулювання Товариством.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Виконувати рiшення, прийнятi Загальними зборами та Наглядовою радою.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Генеральний директор несе вiдповiдальнiсть:</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 збитки, якi завданi Товариству неправомiрними дiями або бездiяльнiстю, а також за заподiяну нимшкоду Товариству, вiдповiдно до чинного законодавства України;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за порушення покладених на нього обов'язкiв, у розмiрi збиткiв, завданих Товариству, якщо iншi пiдстави та розмiр вiдповiдальностi не встановлений чинним законодавством України.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Порядок притягнення Генерального директора до вiдповiдальностi регулюється нормами чинного законодавства України.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 несе персональну вiдповiдальнiсть за дотримання всiх встановлених у Товариствi правил та процедур, пов'язаних iз режимом безпеки та збереженням iнформацiї, а також за забезпечення захисту та збереження комерцiйної таємницi, яка мiститься у протоколах та матерiалах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Генеральний директор несе персональну вiдповiдальнiсть перед Загальними зборами та Наглядовою радою за результати поточної дiяльностi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компетенцiї Генерального директора належить:</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Без довiреностi представляти iнтереси Товариства в державних установах, пiдприємствах всiх форм власностi та громадських органiзацiях, в усiх правоохоронних та контролюючих органах; вчиняти вiд iменi Товариства правочини та здiйснювати всi юридично значимi дiї: пiдписувати будь-якi договори та зовнiшньоекономiчнi контракти; здiйснювати iншi юридичнi дiї в межах компетенцiї, визначеної Статутом Товариства, рiшеннями Загальних зборiв та Наглядової ради та цим Положенням</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Представляти Товариство у вiдносинах з iншими суб'єктами господарської дiяльностi та фiзичними особами як на територiї України, так i за її межами.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Видавати вiд iменi Товариства довiреностi та зобов'язання.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Наймати та звiльняти працiвникiв Товариства, вживати до них заходи заохочення та накладати дисциплiнарнi стягнення вiдповiдно до чинного законодавства України, Статуту та актiв внутрiшнього регулювання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В межах своєї компетенцiї видавати накази, розпорядження i давати вказiвки, обов'язковi для виконання всiма працiвниками Товариства.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Встановлювати форми, системи та порядок оплати працi працiвникiв Товариства згiдно вимог чинного законодавства, затверджувати штатний розклад Товариства та штатнi розклади фiлiй, представництв, визначати розмiри посадових окладiв всiх працiвникiв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Пiдписувати вiд iменi Товариства договори з членами Наглядової ради щодо виконання ними функцiй членiв Наглядової ради Товариства на умовах, затверджених рiшенням Загальних зборiв.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Пiдписувати Колективний договiр.</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Вимагати скликання позачергових засiдань Наглядової ради, приймати участь в засiданнях Наглядової ради.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Приймати участь в Загальних зборах.</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Затверджувати посадовi iнструкцiї працiвникiв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Заохочувати працiвникiв Товариства за результатами їх трудової дiяльностi та накладати стягнення за порушення у вiдповiдностi з чинним законодавством.</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Розпоряджатися майном та коштами Товариства вiдповiдно до законодавства, Статуту Товариства та цього Положення.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Вживати заходи по досудовому врегулюванню спорiв, пiдписувати позови та скарги, пiдписувати всi документи, що стосуються судових розглядiв позовiв та скарг, представляти </w:t>
      </w:r>
      <w:r>
        <w:rPr>
          <w:rFonts w:ascii="Times New Roman CYR" w:hAnsi="Times New Roman CYR" w:cs="Times New Roman CYR"/>
          <w:sz w:val="24"/>
          <w:szCs w:val="24"/>
        </w:rPr>
        <w:lastRenderedPageBreak/>
        <w:t>iнтереси Товариства в судах з усiма правами, наданими законом позивачу, вiдповiдачу, третiй особi в судовому процесi, в тому числi повнiстю або частково вiдмовлятися вiд позовних вимог, визнавати позов, змiнювати предмет позову, укладати мирову угоду, оскаржувати рiшення суду, подавати виконавчий документ до стягнення або видавати довiренiсть на вчинення вiдповiдних дiй iншiй особi.</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Виносити у встановленому порядку на розгляд Наглядової ради, Загальних зборiв питання, пов'язанi з дiяльнiстю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Виконувати iншi функцiї, необхiднi для забезпечення поточної дiяльностi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До компетенцiї Наглядової ради належить вирiшення питань, передбачених законом та Статутом Товариства, а також переданих для вирiшення Наглядовою радою Загальними зборами. До виключної компетенцiї наглядової ради належить:</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пiдготовка порядку денного Загальних зборiв, прийняття рiшення про дату їх проведення та про включення пропозицiй до порядку денного, крiм скликання акцiонерами позачергових Загальних зборiв;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прийняття рiшення про проведення чергових та позачергових Загальних зборiв за власною iнiцiативою, на вимогу акцiонерiв або за пропозицiєю Правлiння;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прийняття рiшення про анулювання акцiй чи продаж ранiше викуплених товариством акцiй;</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прийняття рiшення про розмiщення Товариством iнших цiнних паперiв, крiм акцiй;</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прийняття рiшення про викуп розмiщених Товариством iнших, крiм акцiй, цiнних паперiв;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затвердження ринкової вартостi майна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затвердження умов цивiльно-правових, трудових договорiв, якi укладатимуться з членами Правлiння, встановлення розмiру їх винагороди;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обрання реєстрацiйної комiсiї, для реєстрацiї акцiонерiв на Загальних зборах;</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обрання аудитора Товариства та визначення умов договору, що укладатиметься з ним, встановлення  розмiру оплати його послуг;</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визначення дати складення перелiку осiб, якi мають право на отримання дивiдендiв, порядку та строкiв виплати дивiдендiв;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визначення дати складення перелiку акцiонерiв, якi мають бути повiдомленi про проведення Загальних зборiв та мають право на участь у Загальних зборах;</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вирiшення питань про участь Товариства в об'єднаннях пiдприємств, про заснування iнших юридичних осiб;</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вирiшення питань, передбачених ч. 4 ст. 84 Закону України "Про акцiонернi товариства", в разi злиття, приєднання, подiлу, видiлу або перетворення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прийняття рiшення про вчинення значних правочинiв;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визначення ймовiрностi визнання Товариства неплатоспроможним внаслiдок прийняття ним на себе зобов'язань або їх виконання, у тому числi внаслiдок виплати дивiдендiв або викупу акцiй;</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прийняття рiшення про обрання оцiнювача майна Товариства та затвердження умов вiдповiдного договору, встановлення розмiру оплати його послуг;</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прийняття рiшення про обрання (замiну) зберiгача цiнних паперiв Товариства або депозитарiя цiнних паперiв та затвердження умов вiдповiдних договорiв, встановлення розмiру оплати їх послуг;</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надсилання акцiонерам Товариства пропозицiй про придбання належних їм акцiй особою (особами, що дiють спiльно), яка є власником контрольного пакета акцiй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затвердження рiчних звiтiв, якi подають Правлiння та Ревiзiйна комiсiя;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аналiз дiй Правлiння, щодо управлiння Товариством, реалiзацiї iнвестицiйної, iнновацiйної, технiчної та цiнової полiтики, додержання номенклатури товарiв та послуг;</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 xml:space="preserve">iнiцiювання проведення позачергових ревiзiй та аудиторських перевiрок </w:t>
      </w:r>
      <w:r>
        <w:rPr>
          <w:rFonts w:ascii="Times New Roman CYR" w:hAnsi="Times New Roman CYR" w:cs="Times New Roman CYR"/>
          <w:sz w:val="24"/>
          <w:szCs w:val="24"/>
        </w:rPr>
        <w:lastRenderedPageBreak/>
        <w:t>фiнансово-господарської дiяльностi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внесення пропозицiй до Загальних зборiв щодо розподiлу прибутку та покриття збиткiв;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прийняття рiшення щодо полiтики Товариства з виплати дивiдендiв та визначення розмiрiв виплати дивiдендiв для затвердження на Загальних зборах;</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виконання функцiй та доручень, переданих Наглядовiй радi Загальними зборами.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Питання, що належать до виключної компетенцiї Наглядової ради Товариства, не можуть вирiшуватися iншими органами Товариства, крiм Загальних зборiв.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Товариства несе наступнi обов'язки: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вiдповiдає за належне дотримання вимог Статуту та внутрiшнiх документiв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вiдповiдає за дотримання прав акцiонерiв, що обумовленi в Статутi Товариства та законодавствi України;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сприяє успiшнiй дiяльностi Товариства та залученню акцiонерiв пiд час нових емiсiй цiнних паперiв;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вiдповiдає перед Загальними зборами в межах своїх повноважень;</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доводить до вiдома Загальних Зборiв Товариства, Правлiння та Директора Товариства результати проведених перевiрок у формi письмових звiтiв.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Товариства має право:</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заслуховувати звiти Правлiння та посадових осiб Товариства у разi порушення ними норм чинного законодавства, Статуту та внутрiшнiх положень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призначати аудиторську або ревiзiйну перевiрку фiнансової дiяльностi Товариства та розглядати її результати;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розробляти та виносити пропозицiї по змiнам до Статуту;</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визначати регламент своєї роботи;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звертатися до органiв суду та Державної комiсiї з цiнних паперiв та фондового ринку вiдповiдно до повноважень;</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утворювати з членiв Наглядової ради постiйнi та тимчасовi комiтети для вивчення i пiдготовки питань, що вiдносяться до компетенцiї Наглядової ради;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користуватися усiма iншими правами необхiдними для коректного i повного виконання повноважень покладених на Наглядову раду.</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Наглядова рада не має права втручатися в поточну господарську дiяльнiсть Правлiння.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Ревiзор Товариства вiдповiдно до покладених на нього завдань:</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 xml:space="preserve">контролює дотримання Товариством законодавства України та нормативно-правових актiв регулюючих фiнансово-господарську дiяльнiсть Товариства;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 xml:space="preserve">розглядає звiти внутрiшнiх i зовнiшнiх аудиторiв та готує вiдповiднi пропозицiї Загальним Зборам;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 xml:space="preserve">вносить на Загальнi Збори або засiдання Наглядової Ради Товариства пропозицiї щодо будь-яких питань, вiднесених до компетенцiї Ревiзора Товариства, якi стосуються фiнансової безпеки i стабiльностi Товариства та захисту iнтересiв клiєнтiв;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контролює та перевiряє фiнансово-господарську дiяльнiсть Правлiння Товариства, дотримання вимог Статуту Товариства та внутрiшнiх нормативних документiв,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Пiд час реалiзацiї покладених на неї повноважень Ревiзор контролює:</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виконання встановлених Загальними зборами планiв та основних напрямкiв дiяльностi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виконання рiшень по усуненню недолiкiв, що виявленi попередньою ревiзiєю;</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стан розрахункiв по дивiдендах з акцiонерами Товариства, дотримання прав власникiв акцiй Товариства щодо правил розподiлу прибутку, реалiзацiї прав акцiонерiв при придбаннi акцiй нових емiсiй;</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дотримання порядку, передбаченого Статутом Товариства, по оплатi акцiй акцiонерами, а також оплату акцiонерами встановлених вiдсоткiв за несвоєчасну оплату акцiй;</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 xml:space="preserve">вжиття заходiв Правлiнням по недопущенню непродуктивних витрат, а у разi їх </w:t>
      </w:r>
      <w:r>
        <w:rPr>
          <w:rFonts w:ascii="Times New Roman CYR" w:hAnsi="Times New Roman CYR" w:cs="Times New Roman CYR"/>
          <w:sz w:val="24"/>
          <w:szCs w:val="24"/>
        </w:rPr>
        <w:lastRenderedPageBreak/>
        <w:t>виникнення - притягнення винних осiб до вiдповiдальностi;</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правильнiсть розрахункiв податкових зобов'язань Товариства i дотримання термiнiв перерахувань до бюджету податкiв та зборiв, а також вiрнiсть розрахункiв з контрагентами та банкiвськими установами;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вiдповiднiсть розмiру статутного фонду Товариства загальнiй кiлькостi випущених акцiй;</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використання коштiв резервного та iнших фондiв Товариства, що формуються за рахунок прибутку;</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дотримання порядку змiни статутного капiталу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стан каси i майна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Ревiзор Товариства зобов'язаний:</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проводити перевiрку щорiчного звiту про фiнансово-господарську дiяльнiсть Товариства, який подається Правлiнням, а також каси i майна;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повiдомляти Загальнi збори акцiонерiв, а в перiод мiж ними - Наглядову раду Товариства про усi виявленi в ходi перевiрок чи розслiдувань недолiки та зловживання посадових осiб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щорiчно готувати висновок за результатами фiнансового року;</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вимагати позачергового скликання Загальних зборiв акцiонерiв Товариства у разi виникнення загрози iстотним iнтересам Товариства або виявлення зловживань посадових осiб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дiяти в межах повноважень наданих внутрiшнiми документами Товариства та на пiдставi законодавства України.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Ревiзор Товариства має право:</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вимагати надання усiх документiв необхiдних для проведення перевiрок та розслiдувань;</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розглядати кошториси витрат та плани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здiйснювати ревiзiю бухгалтерських документiв;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давати висновки по рiчних звiтах та балансах, без яких Загальнi збори не вправi затверджувати рiчнi звiт та баланс;</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проводити службовi розслiдування;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брати особистi пояснення посадових осiб Товариства з питань фiнансово-господарської дiяльностi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виносити на розгляд Загальних зборiв або Наглядової ради Товариства питання стосовно дiяльностi посадових осiб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вимагати залучення до участi у перевiрках, що проводяться, посадових осiб та спiвробiтникiв апарату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вносити пропозицiї до порядку денного Загальних зборiв та вимагати скликання позачергових зборiв;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бути присутнiми на Загальних Зборах та брати участь в обговореннi питань порядку денного;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брати участь з правом дорадчого голосу у засiданнях Наглядової Ради Товариства та Правлiння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отримувати винагороду у розмiрах та порядку, визначених Загальними зборами акцiонерiв;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За пiдсумками перевiрки господарської дiяльностi Товариства за результатами фiнансового року Ревiзор  готує висновок, в якому мiститься iнформацiя про: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пiдтвердження достовiрностi та повноти даних фiнансової звiтностi Товариства за вiдповiдний перiод;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w:t>
      </w:r>
      <w:r>
        <w:rPr>
          <w:rFonts w:ascii="Times New Roman CYR" w:hAnsi="Times New Roman CYR" w:cs="Times New Roman CYR"/>
          <w:sz w:val="24"/>
          <w:szCs w:val="24"/>
        </w:rPr>
        <w:tab/>
        <w:t xml:space="preserve">факти порушення законодавства пiд час провадження фiнансово-господарської дiяльностi, а також встановленого порядку ведення бухгалтерського облiку та подання звiтностi.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Без висновку Ревiзора Загальнi Збори акцiонерiв не мають права затверджувати фiнансовий звiт Товариства.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 xml:space="preserve">Висновок Ревiзора щодо рiчної фiнансової звiтностi Товариства має ?рунтуватися на наступнiй документацiї та iнформацiї: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 xml:space="preserve">фiнансовiй звiтностi Товариства та звiту зовнiшнього аудитора про фiнансову звiтнiсть Товариства;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результатах обговорення фiнансової звiтностi з Правлiнням Товариства та зовнiшнiм аудитором;</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 xml:space="preserve">будь-яких додаткових матерiалах, бухгалтерських даних та iнших документах Товариства, що вивчалися Ревiзором.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Ревiзор контролює вiдповiднiсть дiяльностi Товариства законодавству України та нормативно-правовим актам, регулюючим фiнансово-господарську дiяльнiсть Товариства шляхом:</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оцiнки ефективностi внутрiшньої системи контролю на предмет вiдповiдностi чинному законодавству України, нормативним документам регулюючих фiнансово-господарську дiяльнiсть Товариства та заходам, що приймаються керiвництвом регулюючих фiнансово-господарську дiяльнiсть Товариства, у випадку виявлення фактiв їх порушення;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розгляду зауважень по результатам перевiрок контролюючих органiв та аудиторських зауважень.</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Ревiзор здiйснює розгляд звiтiв внутрiшнiх та зовнiшнiх аудиторiв та готує вiдповiднi пропозицiї Загальним Зборам, зокрема: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 xml:space="preserve">розглядає рiчний план перевiрок служби внутрiшнього аудиту з метою виключення можливостi його необ?рунтованого обмеження;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розглядає звiт про виконання рiчного плану перевiрок служби внутрiшнього аудиту;</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розглядає роботу, ресурси та органiзацiйну структуру служби внутрiшнього аудиту;</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 xml:space="preserve">вивчає достатнiсть та своєчаснiсть прийняття Правлiнням регулюючих фiнансово-господарську дiяльнiсть Товариства необхiдних заходiв з метою виконання рекомендацiй служби внутрiшнього аудиту;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 xml:space="preserve">розглядає звiт зовнiшнього аудитора про фiнансову звiтнiсть регулюючих фiнансово-господарську дiяльнiсть Товариства;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вивчає достатнiсть та своєчаснiсть прийняття регулюючих фiнансово-господарську дiяльнiсть Товариством заходiв на виконання рекомендацiй зовнiшнього аудитора.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Ревiзор має право залучати до ревiзiй та перевiрок зовнiшнiх та внутрiшнiх експертiв i аудиторiв.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Ревiзор доповiдає про результати ревiзiй та перевiрок Наглядовiй Радi Товариства, а так само Загальним Зборам.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Правлiння на письмовий запит Ревiзора в строк не бiльше п'яти робочих днiв повинно забезпечити доступ Ревiзора в примiщеннi Товариства до будь-якої iнформацiї, яка є необхiдною для виконання їх обов'язкiв.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 xml:space="preserve">Ревiзор може вимагати вiд керiвника служби внутрiшнього аудиту чи зовнiшнього аудитора, проведення будь-якої перевiрки за попереднiм погодженням iз Правлiнням Товариства та / або Наглядовою Радою Товариства.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Ревiзор поводить черговi та позачерговi перевiрки.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Черговi перевiрки Ревiзор проводить за пiдсумками фiнансово-господарської дiяльностi за рiк для подання висновку по рiчному звiту та балансу. Черговi перевiрки проводяться без спецiального рiшення органiв управлiння.</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Позачерговi перевiрки Ревiзор проводить:</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за рiшенням Загальних зборiв;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за рiшенням Наглядової ради;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з власної iнiцiативи;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ў</w:t>
      </w:r>
      <w:r>
        <w:rPr>
          <w:rFonts w:ascii="Times New Roman CYR" w:hAnsi="Times New Roman CYR" w:cs="Times New Roman CYR"/>
          <w:sz w:val="24"/>
          <w:szCs w:val="24"/>
        </w:rPr>
        <w:tab/>
        <w:t>на вимогу акцiонерiв, що володiють у сукупностi бiльш як 10 (десять) % голосiв.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lastRenderedPageBreak/>
        <w:tab/>
        <w:t>Правлiння Товариства може звернутися до Наглядової ради iз заявою про проведення позачергової перевiрки.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Ревiзор може здiйснювати службовi розслiдування на пiдставах, вказаних в п.п. 4.6. цього Положення. Розслiдування проводяться по окремих фактах порушень встановленого порядку дiяльностi апарату управлiння Товариства, а також по окремих фактах зловживань посадових осiб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Пiдставами для проведення розслiдування можуть бути: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заяви чи повiдомлення пiдприємств, установ, органiзацiй, посадових осiб;</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офiцiйнi повiдомлення органiв влади та управлiння, їх представникiв;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заяви окремих громадян;</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заяви спiвробiтникiв апарату та працiвникiв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особистi визнання посадових осiб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повiдомлення, опублiкованi в пресi та iнших засобах масової iнформацiї;</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офiцiйнi заяви акцiонерiв Товариства, висловленi ними на Загальних зборах або направленi до Наглядової ради Товариства;</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o</w:t>
      </w:r>
      <w:r>
        <w:rPr>
          <w:rFonts w:ascii="Times New Roman CYR" w:hAnsi="Times New Roman CYR" w:cs="Times New Roman CYR"/>
          <w:sz w:val="24"/>
          <w:szCs w:val="24"/>
        </w:rPr>
        <w:tab/>
        <w:t>факти, виявленi безпосередньо Ревiзором.</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Розслiдування повинне бути розпочато не пiзнiше трьох днiв пiсля виникнення пiдстав для його проведення. За загальним правилом розслiдування проводиться на протязi двох тижнiв пiсля його початку.</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 xml:space="preserve">Матерiали службових розслiдувань з висновком, пiдписаним Ревiзором, що проводили розслiдування, передаються до Наглядової ради Товариства не пiзнiше трьох днiв пiсля закiнчення перевiрки. </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Особам, дiяльнiсть яких перевiрялась, Ревiзор зобов'язаний надати для ознайомлення заключний акт перевiрки.</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ab/>
        <w:t>Ревiзор пiсля перевiрки рiчного звiту та балансу передає один примiрник затвердженого висновку по ним Правлiнню Товариства, яке вносить його iз своїми поясненнями на розгляд Загальних зборiв акцiонерiв.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10) Висловлення думки аудитора (аудиторської фірми) щодо інформації, зазначеної у підпунктах 5-9 цього пункту, а також перевірки інформації, зазначеної в підпунктах 1-4 цього пункту</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b/>
          <w:bCs/>
          <w:sz w:val="24"/>
          <w:szCs w:val="24"/>
        </w:rPr>
        <w:t>11) Інформація, передбачена Законом України "Про фінансові послуги та державне регулювання ринку фінансових послуг" (для фінансових установ)</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sectPr w:rsidR="00F31D3B">
          <w:pgSz w:w="12240" w:h="15840"/>
          <w:pgMar w:top="850" w:right="850" w:bottom="850" w:left="1400" w:header="708" w:footer="708" w:gutter="0"/>
          <w:cols w:space="720"/>
          <w:noEndnote/>
        </w:sect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VIII. Інформація про осіб, що володіють 5 і більше відсотками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tblPr>
      <w:tblGrid>
        <w:gridCol w:w="3300"/>
        <w:gridCol w:w="1400"/>
        <w:gridCol w:w="2300"/>
        <w:gridCol w:w="2000"/>
        <w:gridCol w:w="2000"/>
        <w:gridCol w:w="2000"/>
        <w:gridCol w:w="2121"/>
      </w:tblGrid>
      <w:tr w:rsidR="00F31D3B">
        <w:tblPrEx>
          <w:tblCellMar>
            <w:top w:w="0" w:type="dxa"/>
            <w:bottom w:w="0" w:type="dxa"/>
          </w:tblCellMar>
        </w:tblPrEx>
        <w:trPr>
          <w:trHeight w:val="200"/>
        </w:trPr>
        <w:tc>
          <w:tcPr>
            <w:tcW w:w="3300" w:type="dxa"/>
            <w:vMerge w:val="restart"/>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юридичної особи</w:t>
            </w:r>
          </w:p>
        </w:tc>
        <w:tc>
          <w:tcPr>
            <w:tcW w:w="1400" w:type="dxa"/>
            <w:vMerge w:val="restart"/>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2300" w:type="dxa"/>
            <w:vMerge w:val="restart"/>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Місцезнаходження</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 загальної кількості акцій (у відсотках)</w:t>
            </w:r>
          </w:p>
        </w:tc>
        <w:tc>
          <w:tcPr>
            <w:tcW w:w="4121"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за видами акцій</w:t>
            </w:r>
          </w:p>
        </w:tc>
      </w:tr>
      <w:tr w:rsidR="00F31D3B">
        <w:tblPrEx>
          <w:tblCellMar>
            <w:top w:w="0" w:type="dxa"/>
            <w:bottom w:w="0" w:type="dxa"/>
          </w:tblCellMar>
        </w:tblPrEx>
        <w:trPr>
          <w:trHeight w:val="200"/>
        </w:trPr>
        <w:tc>
          <w:tcPr>
            <w:tcW w:w="3300" w:type="dxa"/>
            <w:vMerge/>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p>
        </w:tc>
        <w:tc>
          <w:tcPr>
            <w:tcW w:w="1400" w:type="dxa"/>
            <w:vMerge/>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p>
        </w:tc>
        <w:tc>
          <w:tcPr>
            <w:tcW w:w="2300" w:type="dxa"/>
            <w:vMerge/>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Прості іменні</w:t>
            </w:r>
          </w:p>
        </w:tc>
        <w:tc>
          <w:tcPr>
            <w:tcW w:w="2121"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Привілейовані іменні</w:t>
            </w:r>
          </w:p>
        </w:tc>
      </w:tr>
      <w:tr w:rsidR="00F31D3B">
        <w:tblPrEx>
          <w:tblCellMar>
            <w:top w:w="0" w:type="dxa"/>
            <w:bottom w:w="0" w:type="dxa"/>
          </w:tblCellMar>
        </w:tblPrEx>
        <w:trPr>
          <w:trHeight w:val="200"/>
        </w:trPr>
        <w:tc>
          <w:tcPr>
            <w:tcW w:w="33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p>
        </w:tc>
        <w:tc>
          <w:tcPr>
            <w:tcW w:w="14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p>
        </w:tc>
        <w:tc>
          <w:tcPr>
            <w:tcW w:w="23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c>
          <w:tcPr>
            <w:tcW w:w="2121"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r>
      <w:tr w:rsidR="00F31D3B">
        <w:tblPrEx>
          <w:tblCellMar>
            <w:top w:w="0" w:type="dxa"/>
            <w:bottom w:w="0" w:type="dxa"/>
          </w:tblCellMar>
        </w:tblPrEx>
        <w:trPr>
          <w:trHeight w:val="200"/>
        </w:trPr>
        <w:tc>
          <w:tcPr>
            <w:tcW w:w="7000" w:type="dxa"/>
            <w:gridSpan w:val="3"/>
            <w:vMerge w:val="restart"/>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Прізвище, ім'я, по батькові (за наявності) фізичної особи</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2000" w:type="dxa"/>
            <w:vMerge w:val="restart"/>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Від загальної кількості акцій (у відсотках)</w:t>
            </w:r>
          </w:p>
        </w:tc>
        <w:tc>
          <w:tcPr>
            <w:tcW w:w="4121"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за типами акцій</w:t>
            </w:r>
          </w:p>
        </w:tc>
      </w:tr>
      <w:tr w:rsidR="00F31D3B">
        <w:tblPrEx>
          <w:tblCellMar>
            <w:top w:w="0" w:type="dxa"/>
            <w:bottom w:w="0" w:type="dxa"/>
          </w:tblCellMar>
        </w:tblPrEx>
        <w:trPr>
          <w:trHeight w:val="200"/>
        </w:trPr>
        <w:tc>
          <w:tcPr>
            <w:tcW w:w="7000" w:type="dxa"/>
            <w:gridSpan w:val="3"/>
            <w:vMerge/>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vMerge/>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Прості іменні</w:t>
            </w:r>
          </w:p>
        </w:tc>
        <w:tc>
          <w:tcPr>
            <w:tcW w:w="2121"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b/>
                <w:bCs/>
              </w:rPr>
              <w:t>Привілейовані іменні</w:t>
            </w:r>
          </w:p>
        </w:tc>
      </w:tr>
      <w:tr w:rsidR="00F31D3B">
        <w:tblPrEx>
          <w:tblCellMar>
            <w:top w:w="0" w:type="dxa"/>
            <w:bottom w:w="0" w:type="dxa"/>
          </w:tblCellMar>
        </w:tblPrEx>
        <w:trPr>
          <w:trHeight w:val="200"/>
        </w:trPr>
        <w:tc>
          <w:tcPr>
            <w:tcW w:w="7000" w:type="dxa"/>
            <w:gridSpan w:val="3"/>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Антоняк Володимир Михайлович</w:t>
            </w: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351 990</w:t>
            </w: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50,646</w:t>
            </w: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351 990</w:t>
            </w:r>
          </w:p>
        </w:tc>
        <w:tc>
          <w:tcPr>
            <w:tcW w:w="2121"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7000" w:type="dxa"/>
            <w:gridSpan w:val="3"/>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Лук"янова Марiя Iванiвна</w:t>
            </w: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157 568</w:t>
            </w: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22,6717</w:t>
            </w: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157 568</w:t>
            </w:r>
          </w:p>
        </w:tc>
        <w:tc>
          <w:tcPr>
            <w:tcW w:w="2121"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7000" w:type="dxa"/>
            <w:gridSpan w:val="3"/>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Лук"янов Вiталiй Олександрович</w:t>
            </w: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65 371</w:t>
            </w: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9,42</w:t>
            </w: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65 371</w:t>
            </w:r>
          </w:p>
        </w:tc>
        <w:tc>
          <w:tcPr>
            <w:tcW w:w="2121"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7000" w:type="dxa"/>
            <w:gridSpan w:val="3"/>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right"/>
              <w:rPr>
                <w:rFonts w:ascii="Times New Roman CYR" w:hAnsi="Times New Roman CYR" w:cs="Times New Roman CYR"/>
                <w:b/>
                <w:bCs/>
              </w:rPr>
            </w:pPr>
            <w:r>
              <w:rPr>
                <w:rFonts w:ascii="Times New Roman CYR" w:hAnsi="Times New Roman CYR" w:cs="Times New Roman CYR"/>
                <w:b/>
                <w:bCs/>
              </w:rPr>
              <w:t>Усього</w:t>
            </w: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574 929</w:t>
            </w: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82,7377</w:t>
            </w: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574 929</w:t>
            </w:r>
          </w:p>
        </w:tc>
        <w:tc>
          <w:tcPr>
            <w:tcW w:w="2121"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bl>
    <w:p w:rsidR="00F31D3B" w:rsidRDefault="00F31D3B">
      <w:pPr>
        <w:widowControl w:val="0"/>
        <w:autoSpaceDE w:val="0"/>
        <w:autoSpaceDN w:val="0"/>
        <w:adjustRightInd w:val="0"/>
        <w:spacing w:after="0" w:line="240" w:lineRule="auto"/>
        <w:rPr>
          <w:rFonts w:ascii="Times New Roman CYR" w:hAnsi="Times New Roman CYR" w:cs="Times New Roman CYR"/>
        </w:rPr>
        <w:sectPr w:rsidR="00F31D3B">
          <w:pgSz w:w="16838" w:h="11906" w:orient="landscape"/>
          <w:pgMar w:top="850" w:right="850" w:bottom="850" w:left="1400" w:header="708" w:footer="708" w:gutter="0"/>
          <w:cols w:space="720"/>
          <w:noEndnote/>
        </w:sect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X. Структура капіталу</w:t>
      </w: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tblPr>
      <w:tblGrid>
        <w:gridCol w:w="2462"/>
        <w:gridCol w:w="2000"/>
        <w:gridCol w:w="2000"/>
        <w:gridCol w:w="5000"/>
        <w:gridCol w:w="3621"/>
      </w:tblGrid>
      <w:tr w:rsidR="00F31D3B">
        <w:tblPrEx>
          <w:tblCellMar>
            <w:top w:w="0" w:type="dxa"/>
            <w:bottom w:w="0" w:type="dxa"/>
          </w:tblCellMar>
        </w:tblPrEx>
        <w:trPr>
          <w:trHeight w:val="300"/>
        </w:trPr>
        <w:tc>
          <w:tcPr>
            <w:tcW w:w="2462"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Тип та/або клас акцій</w:t>
            </w: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акцій (шт.)</w:t>
            </w: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Номінальна вартість (грн)</w:t>
            </w:r>
          </w:p>
        </w:tc>
        <w:tc>
          <w:tcPr>
            <w:tcW w:w="5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Права та обов'язки</w:t>
            </w:r>
          </w:p>
        </w:tc>
        <w:tc>
          <w:tcPr>
            <w:tcW w:w="3621"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Наявність публічної пропозиції та/або допуску до торгів на фондовій біржі в частині включення до біржового реєстру</w:t>
            </w:r>
          </w:p>
        </w:tc>
      </w:tr>
      <w:tr w:rsidR="00F31D3B">
        <w:tblPrEx>
          <w:tblCellMar>
            <w:top w:w="0" w:type="dxa"/>
            <w:bottom w:w="0" w:type="dxa"/>
          </w:tblCellMar>
        </w:tblPrEx>
        <w:trPr>
          <w:trHeight w:val="300"/>
        </w:trPr>
        <w:tc>
          <w:tcPr>
            <w:tcW w:w="2462"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простi iменнi</w:t>
            </w: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695 000</w:t>
            </w: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173 750,00</w:t>
            </w:r>
          </w:p>
        </w:tc>
        <w:tc>
          <w:tcPr>
            <w:tcW w:w="5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 xml:space="preserve">Цiннi папери, якi б надавали акцiонерам iншi додатковi права, окрiм тих що надаються акцiонерам , власника простих iменних акцiй, Товариством не випускались.- Права акцiонерiв у повнiй вiдповiдностi до Закону України про акцiонернi товариства передбаченi Статутом АТ. </w:t>
            </w:r>
          </w:p>
        </w:tc>
        <w:tc>
          <w:tcPr>
            <w:tcW w:w="3621"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sz w:val="20"/>
                <w:szCs w:val="20"/>
              </w:rPr>
            </w:pPr>
            <w:r>
              <w:rPr>
                <w:rFonts w:ascii="Times New Roman CYR" w:hAnsi="Times New Roman CYR" w:cs="Times New Roman CYR"/>
                <w:sz w:val="20"/>
                <w:szCs w:val="20"/>
              </w:rPr>
              <w:t>вiдсутня публiчна пропозицiя, до бiржового реєстру не включалися</w:t>
            </w:r>
          </w:p>
        </w:tc>
      </w:tr>
      <w:tr w:rsidR="00F31D3B">
        <w:tblPrEx>
          <w:tblCellMar>
            <w:top w:w="0" w:type="dxa"/>
            <w:bottom w:w="0" w:type="dxa"/>
          </w:tblCellMar>
        </w:tblPrEx>
        <w:trPr>
          <w:trHeight w:val="300"/>
        </w:trPr>
        <w:tc>
          <w:tcPr>
            <w:tcW w:w="15083" w:type="dxa"/>
            <w:gridSpan w:val="5"/>
            <w:tcBorders>
              <w:top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Примітки:</w:t>
            </w:r>
          </w:p>
        </w:tc>
      </w:tr>
      <w:tr w:rsidR="00F31D3B">
        <w:tblPrEx>
          <w:tblCellMar>
            <w:top w:w="0" w:type="dxa"/>
            <w:bottom w:w="0" w:type="dxa"/>
          </w:tblCellMar>
        </w:tblPrEx>
        <w:trPr>
          <w:trHeight w:val="300"/>
        </w:trPr>
        <w:tc>
          <w:tcPr>
            <w:tcW w:w="15083" w:type="dxa"/>
            <w:gridSpan w:val="5"/>
            <w:tcBorders>
              <w:top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0"/>
          <w:szCs w:val="20"/>
        </w:rPr>
        <w:sectPr w:rsidR="00F31D3B">
          <w:pgSz w:w="16838" w:h="11906" w:orient="landscape"/>
          <w:pgMar w:top="850" w:right="850" w:bottom="850" w:left="1400" w:header="708" w:footer="708" w:gutter="0"/>
          <w:cols w:space="720"/>
          <w:noEndnote/>
        </w:sectPr>
      </w:pPr>
    </w:p>
    <w:p w:rsidR="00F31D3B" w:rsidRDefault="00F31D3B">
      <w:pPr>
        <w:widowControl w:val="0"/>
        <w:autoSpaceDE w:val="0"/>
        <w:autoSpaceDN w:val="0"/>
        <w:adjustRightInd w:val="0"/>
        <w:spacing w:after="0" w:line="240" w:lineRule="auto"/>
        <w:rPr>
          <w:rFonts w:ascii="Times New Roman CYR" w:hAnsi="Times New Roman CYR" w:cs="Times New Roman CYR"/>
          <w:sz w:val="20"/>
          <w:szCs w:val="20"/>
        </w:rPr>
        <w:sectPr w:rsidR="00F31D3B">
          <w:pgSz w:w="12240" w:h="15840"/>
          <w:pgMar w:top="850" w:right="850" w:bottom="850" w:left="1400" w:header="708" w:footer="708" w:gutter="0"/>
          <w:cols w:space="720"/>
          <w:noEndnote/>
        </w:sect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XI. Відомості про цінні папери емітента</w:t>
      </w: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1. Інформація про випуски акцій емітента</w:t>
      </w:r>
    </w:p>
    <w:tbl>
      <w:tblPr>
        <w:tblW w:w="0" w:type="auto"/>
        <w:tblInd w:w="-392" w:type="dxa"/>
        <w:tblBorders>
          <w:top w:val="single" w:sz="6" w:space="0" w:color="auto"/>
          <w:left w:val="single" w:sz="6" w:space="0" w:color="auto"/>
          <w:bottom w:val="single" w:sz="6" w:space="0" w:color="auto"/>
          <w:right w:val="single" w:sz="6" w:space="0" w:color="auto"/>
        </w:tblBorders>
        <w:tblLayout w:type="fixed"/>
        <w:tblLook w:val="0000"/>
      </w:tblPr>
      <w:tblGrid>
        <w:gridCol w:w="1250"/>
        <w:gridCol w:w="1350"/>
        <w:gridCol w:w="2400"/>
        <w:gridCol w:w="1700"/>
        <w:gridCol w:w="1500"/>
        <w:gridCol w:w="1450"/>
        <w:gridCol w:w="1450"/>
        <w:gridCol w:w="1200"/>
        <w:gridCol w:w="1400"/>
        <w:gridCol w:w="1400"/>
      </w:tblGrid>
      <w:tr w:rsidR="00F31D3B">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Дата реєстрації випуску</w:t>
            </w:r>
          </w:p>
        </w:tc>
        <w:tc>
          <w:tcPr>
            <w:tcW w:w="13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Номер свідоцтва про реєстрацію випуску</w:t>
            </w:r>
          </w:p>
        </w:tc>
        <w:tc>
          <w:tcPr>
            <w:tcW w:w="24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органу, що зареєстрував випуск</w:t>
            </w:r>
          </w:p>
        </w:tc>
        <w:tc>
          <w:tcPr>
            <w:tcW w:w="17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Міжнародний ідентифікаційний номер</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Тип цінного папера</w:t>
            </w:r>
          </w:p>
        </w:tc>
        <w:tc>
          <w:tcPr>
            <w:tcW w:w="14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Форма існування та форма випуску</w:t>
            </w:r>
          </w:p>
        </w:tc>
        <w:tc>
          <w:tcPr>
            <w:tcW w:w="14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Номінальна вартість (грн)</w:t>
            </w:r>
          </w:p>
        </w:tc>
        <w:tc>
          <w:tcPr>
            <w:tcW w:w="12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Кількість акцій (шт.)</w:t>
            </w:r>
          </w:p>
        </w:tc>
        <w:tc>
          <w:tcPr>
            <w:tcW w:w="14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Загальна номінальна вартість (грн)</w:t>
            </w:r>
          </w:p>
        </w:tc>
        <w:tc>
          <w:tcPr>
            <w:tcW w:w="14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Частка у статутному капіталі (у відсотках)</w:t>
            </w:r>
          </w:p>
        </w:tc>
      </w:tr>
      <w:tr w:rsidR="00F31D3B">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13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24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7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w:t>
            </w:r>
          </w:p>
        </w:tc>
        <w:tc>
          <w:tcPr>
            <w:tcW w:w="14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w:t>
            </w:r>
          </w:p>
        </w:tc>
        <w:tc>
          <w:tcPr>
            <w:tcW w:w="14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w:t>
            </w:r>
          </w:p>
        </w:tc>
        <w:tc>
          <w:tcPr>
            <w:tcW w:w="12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w:t>
            </w:r>
          </w:p>
        </w:tc>
        <w:tc>
          <w:tcPr>
            <w:tcW w:w="14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w:t>
            </w:r>
          </w:p>
        </w:tc>
        <w:tc>
          <w:tcPr>
            <w:tcW w:w="14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w:t>
            </w:r>
          </w:p>
        </w:tc>
      </w:tr>
      <w:tr w:rsidR="00F31D3B">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03.10.2010</w:t>
            </w:r>
          </w:p>
        </w:tc>
        <w:tc>
          <w:tcPr>
            <w:tcW w:w="135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55/03/1/10</w:t>
            </w:r>
          </w:p>
        </w:tc>
        <w:tc>
          <w:tcPr>
            <w:tcW w:w="24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Волинське територiальне управлiння ДКЦПФР</w:t>
            </w:r>
          </w:p>
        </w:tc>
        <w:tc>
          <w:tcPr>
            <w:tcW w:w="17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UA 4000156897</w:t>
            </w:r>
          </w:p>
        </w:tc>
        <w:tc>
          <w:tcPr>
            <w:tcW w:w="1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Акція проста бездокументарна іменна</w:t>
            </w:r>
          </w:p>
        </w:tc>
        <w:tc>
          <w:tcPr>
            <w:tcW w:w="145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Електронні іменні</w:t>
            </w:r>
          </w:p>
        </w:tc>
        <w:tc>
          <w:tcPr>
            <w:tcW w:w="145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0,25</w:t>
            </w:r>
          </w:p>
        </w:tc>
        <w:tc>
          <w:tcPr>
            <w:tcW w:w="12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695 000</w:t>
            </w:r>
          </w:p>
        </w:tc>
        <w:tc>
          <w:tcPr>
            <w:tcW w:w="14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173 750</w:t>
            </w:r>
          </w:p>
        </w:tc>
        <w:tc>
          <w:tcPr>
            <w:tcW w:w="14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w:t>
            </w:r>
          </w:p>
        </w:tc>
      </w:tr>
      <w:tr w:rsidR="00F31D3B">
        <w:tblPrEx>
          <w:tblCellMar>
            <w:top w:w="0" w:type="dxa"/>
            <w:bottom w:w="0" w:type="dxa"/>
          </w:tblCellMar>
        </w:tblPrEx>
        <w:trPr>
          <w:trHeight w:val="200"/>
        </w:trPr>
        <w:tc>
          <w:tcPr>
            <w:tcW w:w="12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13850" w:type="dxa"/>
            <w:gridSpan w:val="9"/>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Дата видачi даного свiдоцтва - 19.07.2011р. в зв'язку iз змiною найменування акцiонерного товариства на ПрАТ "Сяйво".</w:t>
            </w: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Торгiвля цiнними паперами на ринких не здiйснюється. Процедуру лiстингу не проводили.</w:t>
            </w:r>
          </w:p>
        </w:tc>
      </w:tr>
    </w:tbl>
    <w:p w:rsidR="00F31D3B" w:rsidRDefault="00F31D3B">
      <w:pPr>
        <w:widowControl w:val="0"/>
        <w:autoSpaceDE w:val="0"/>
        <w:autoSpaceDN w:val="0"/>
        <w:adjustRightInd w:val="0"/>
        <w:spacing w:after="0" w:line="240" w:lineRule="auto"/>
        <w:rPr>
          <w:rFonts w:ascii="Times New Roman CYR" w:hAnsi="Times New Roman CYR" w:cs="Times New Roman CYR"/>
        </w:rPr>
      </w:pPr>
    </w:p>
    <w:p w:rsidR="00F31D3B" w:rsidRDefault="00F31D3B">
      <w:pPr>
        <w:widowControl w:val="0"/>
        <w:autoSpaceDE w:val="0"/>
        <w:autoSpaceDN w:val="0"/>
        <w:adjustRightInd w:val="0"/>
        <w:spacing w:after="0" w:line="240" w:lineRule="auto"/>
        <w:rPr>
          <w:rFonts w:ascii="Times New Roman CYR" w:hAnsi="Times New Roman CYR" w:cs="Times New Roman CYR"/>
        </w:rPr>
        <w:sectPr w:rsidR="00F31D3B">
          <w:pgSz w:w="16838" w:h="11906" w:orient="landscape"/>
          <w:pgMar w:top="850" w:right="850" w:bottom="850" w:left="1400" w:header="708" w:footer="708" w:gutter="0"/>
          <w:cols w:space="720"/>
          <w:noEndnote/>
        </w:sect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8. Інформація про наявність у власності працівників емітента акцій у розмірі понад 0,1 відсотка розміру статутного капіталу емітента</w:t>
      </w: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tblPr>
      <w:tblGrid>
        <w:gridCol w:w="5962"/>
        <w:gridCol w:w="2500"/>
        <w:gridCol w:w="1500"/>
        <w:gridCol w:w="2500"/>
        <w:gridCol w:w="2621"/>
      </w:tblGrid>
      <w:tr w:rsidR="00F31D3B">
        <w:tblPrEx>
          <w:tblCellMar>
            <w:top w:w="0" w:type="dxa"/>
            <w:bottom w:w="0" w:type="dxa"/>
          </w:tblCellMar>
        </w:tblPrEx>
        <w:trPr>
          <w:trHeight w:val="300"/>
        </w:trPr>
        <w:tc>
          <w:tcPr>
            <w:tcW w:w="5962" w:type="dxa"/>
            <w:vMerge w:val="restart"/>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Прізвище, ім'я, по батькові фізичної особи</w:t>
            </w:r>
          </w:p>
        </w:tc>
        <w:tc>
          <w:tcPr>
            <w:tcW w:w="2500" w:type="dxa"/>
            <w:vMerge w:val="restart"/>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цінних паперів (шт.)</w:t>
            </w:r>
          </w:p>
        </w:tc>
        <w:tc>
          <w:tcPr>
            <w:tcW w:w="1500" w:type="dxa"/>
            <w:vMerge w:val="restart"/>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Від загальної кількості акцій (у відсотках)</w:t>
            </w:r>
          </w:p>
        </w:tc>
        <w:tc>
          <w:tcPr>
            <w:tcW w:w="5121"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за типами акцій</w:t>
            </w:r>
          </w:p>
        </w:tc>
      </w:tr>
      <w:tr w:rsidR="00F31D3B">
        <w:tblPrEx>
          <w:tblCellMar>
            <w:top w:w="0" w:type="dxa"/>
            <w:bottom w:w="0" w:type="dxa"/>
          </w:tblCellMar>
        </w:tblPrEx>
        <w:trPr>
          <w:trHeight w:val="300"/>
        </w:trPr>
        <w:tc>
          <w:tcPr>
            <w:tcW w:w="5962" w:type="dxa"/>
            <w:vMerge/>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p>
        </w:tc>
        <w:tc>
          <w:tcPr>
            <w:tcW w:w="2500" w:type="dxa"/>
            <w:vMerge/>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p>
        </w:tc>
        <w:tc>
          <w:tcPr>
            <w:tcW w:w="1500" w:type="dxa"/>
            <w:vMerge/>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p>
        </w:tc>
        <w:tc>
          <w:tcPr>
            <w:tcW w:w="2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прості іменні</w:t>
            </w:r>
          </w:p>
        </w:tc>
        <w:tc>
          <w:tcPr>
            <w:tcW w:w="2621"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привілейовані іменні</w:t>
            </w:r>
          </w:p>
        </w:tc>
      </w:tr>
      <w:tr w:rsidR="00F31D3B">
        <w:tblPrEx>
          <w:tblCellMar>
            <w:top w:w="0" w:type="dxa"/>
            <w:bottom w:w="0" w:type="dxa"/>
          </w:tblCellMar>
        </w:tblPrEx>
        <w:trPr>
          <w:trHeight w:val="300"/>
        </w:trPr>
        <w:tc>
          <w:tcPr>
            <w:tcW w:w="5962"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1</w:t>
            </w:r>
          </w:p>
        </w:tc>
        <w:tc>
          <w:tcPr>
            <w:tcW w:w="2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2</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3</w:t>
            </w:r>
          </w:p>
        </w:tc>
        <w:tc>
          <w:tcPr>
            <w:tcW w:w="2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4</w:t>
            </w:r>
          </w:p>
        </w:tc>
        <w:tc>
          <w:tcPr>
            <w:tcW w:w="2621"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5</w:t>
            </w:r>
          </w:p>
        </w:tc>
      </w:tr>
      <w:tr w:rsidR="00F31D3B">
        <w:tblPrEx>
          <w:tblCellMar>
            <w:top w:w="0" w:type="dxa"/>
            <w:bottom w:w="0" w:type="dxa"/>
          </w:tblCellMar>
        </w:tblPrEx>
        <w:trPr>
          <w:trHeight w:val="300"/>
        </w:trPr>
        <w:tc>
          <w:tcPr>
            <w:tcW w:w="5962"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Лук"янов В. О.</w:t>
            </w:r>
          </w:p>
        </w:tc>
        <w:tc>
          <w:tcPr>
            <w:tcW w:w="2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65 371</w:t>
            </w:r>
          </w:p>
        </w:tc>
        <w:tc>
          <w:tcPr>
            <w:tcW w:w="1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9,42</w:t>
            </w:r>
          </w:p>
        </w:tc>
        <w:tc>
          <w:tcPr>
            <w:tcW w:w="2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65 371</w:t>
            </w:r>
          </w:p>
        </w:tc>
        <w:tc>
          <w:tcPr>
            <w:tcW w:w="2621"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F31D3B">
        <w:tblPrEx>
          <w:tblCellMar>
            <w:top w:w="0" w:type="dxa"/>
            <w:bottom w:w="0" w:type="dxa"/>
          </w:tblCellMar>
        </w:tblPrEx>
        <w:trPr>
          <w:trHeight w:val="300"/>
        </w:trPr>
        <w:tc>
          <w:tcPr>
            <w:tcW w:w="5962"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Варченко С. О.</w:t>
            </w:r>
          </w:p>
        </w:tc>
        <w:tc>
          <w:tcPr>
            <w:tcW w:w="2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5 579</w:t>
            </w:r>
          </w:p>
        </w:tc>
        <w:tc>
          <w:tcPr>
            <w:tcW w:w="1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0,802733</w:t>
            </w:r>
          </w:p>
        </w:tc>
        <w:tc>
          <w:tcPr>
            <w:tcW w:w="2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5 579</w:t>
            </w:r>
          </w:p>
        </w:tc>
        <w:tc>
          <w:tcPr>
            <w:tcW w:w="2621"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F31D3B">
        <w:tblPrEx>
          <w:tblCellMar>
            <w:top w:w="0" w:type="dxa"/>
            <w:bottom w:w="0" w:type="dxa"/>
          </w:tblCellMar>
        </w:tblPrEx>
        <w:trPr>
          <w:trHeight w:val="300"/>
        </w:trPr>
        <w:tc>
          <w:tcPr>
            <w:tcW w:w="5962"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Антоняк В. М.</w:t>
            </w:r>
          </w:p>
        </w:tc>
        <w:tc>
          <w:tcPr>
            <w:tcW w:w="2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351 990</w:t>
            </w:r>
          </w:p>
        </w:tc>
        <w:tc>
          <w:tcPr>
            <w:tcW w:w="1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50,646043</w:t>
            </w:r>
          </w:p>
        </w:tc>
        <w:tc>
          <w:tcPr>
            <w:tcW w:w="2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351 990</w:t>
            </w:r>
          </w:p>
        </w:tc>
        <w:tc>
          <w:tcPr>
            <w:tcW w:w="2621"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F31D3B">
        <w:tblPrEx>
          <w:tblCellMar>
            <w:top w:w="0" w:type="dxa"/>
            <w:bottom w:w="0" w:type="dxa"/>
          </w:tblCellMar>
        </w:tblPrEx>
        <w:trPr>
          <w:trHeight w:val="300"/>
        </w:trPr>
        <w:tc>
          <w:tcPr>
            <w:tcW w:w="5962"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Максимчук Л. В.</w:t>
            </w:r>
          </w:p>
        </w:tc>
        <w:tc>
          <w:tcPr>
            <w:tcW w:w="2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1 000</w:t>
            </w:r>
          </w:p>
        </w:tc>
        <w:tc>
          <w:tcPr>
            <w:tcW w:w="1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0,143884</w:t>
            </w:r>
          </w:p>
        </w:tc>
        <w:tc>
          <w:tcPr>
            <w:tcW w:w="2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1 000</w:t>
            </w:r>
          </w:p>
        </w:tc>
        <w:tc>
          <w:tcPr>
            <w:tcW w:w="2621"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F31D3B">
        <w:tblPrEx>
          <w:tblCellMar>
            <w:top w:w="0" w:type="dxa"/>
            <w:bottom w:w="0" w:type="dxa"/>
          </w:tblCellMar>
        </w:tblPrEx>
        <w:trPr>
          <w:trHeight w:val="300"/>
        </w:trPr>
        <w:tc>
          <w:tcPr>
            <w:tcW w:w="5962"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Усього</w:t>
            </w:r>
          </w:p>
        </w:tc>
        <w:tc>
          <w:tcPr>
            <w:tcW w:w="2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423 940</w:t>
            </w:r>
          </w:p>
        </w:tc>
        <w:tc>
          <w:tcPr>
            <w:tcW w:w="1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61,01266</w:t>
            </w:r>
          </w:p>
        </w:tc>
        <w:tc>
          <w:tcPr>
            <w:tcW w:w="2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423 940</w:t>
            </w:r>
          </w:p>
        </w:tc>
        <w:tc>
          <w:tcPr>
            <w:tcW w:w="2621"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0"/>
          <w:szCs w:val="20"/>
        </w:r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sz w:val="28"/>
          <w:szCs w:val="28"/>
        </w:rPr>
      </w:pPr>
      <w:r>
        <w:rPr>
          <w:rFonts w:ascii="Times New Roman CYR" w:hAnsi="Times New Roman CYR" w:cs="Times New Roman CYR"/>
          <w:b/>
          <w:bCs/>
          <w:sz w:val="28"/>
          <w:szCs w:val="28"/>
        </w:rPr>
        <w:t>10. Інформація про загальну кількість голосуючих акцій та кількість голосуючих акцій, права голосу за якими обмежено, а також кількість голосуючих акцій, права голосу за якими за результатами обмеження таких прав передано іншій особі</w:t>
      </w:r>
    </w:p>
    <w:p w:rsidR="00F31D3B" w:rsidRDefault="00F31D3B">
      <w:pPr>
        <w:widowControl w:val="0"/>
        <w:autoSpaceDE w:val="0"/>
        <w:autoSpaceDN w:val="0"/>
        <w:adjustRightInd w:val="0"/>
        <w:spacing w:after="0" w:line="240" w:lineRule="auto"/>
        <w:jc w:val="center"/>
        <w:rPr>
          <w:rFonts w:ascii="Times New Roman CYR" w:hAnsi="Times New Roman CYR" w:cs="Times New Roman CYR"/>
          <w:sz w:val="28"/>
          <w:szCs w:val="28"/>
        </w:rPr>
      </w:pPr>
    </w:p>
    <w:tbl>
      <w:tblPr>
        <w:tblW w:w="0" w:type="auto"/>
        <w:tblInd w:w="-354" w:type="dxa"/>
        <w:tblBorders>
          <w:top w:val="single" w:sz="6" w:space="0" w:color="auto"/>
          <w:left w:val="single" w:sz="6" w:space="0" w:color="auto"/>
          <w:bottom w:val="single" w:sz="6" w:space="0" w:color="auto"/>
          <w:right w:val="single" w:sz="6" w:space="0" w:color="auto"/>
        </w:tblBorders>
        <w:tblLayout w:type="fixed"/>
        <w:tblLook w:val="0000"/>
      </w:tblPr>
      <w:tblGrid>
        <w:gridCol w:w="1462"/>
        <w:gridCol w:w="2000"/>
        <w:gridCol w:w="2000"/>
        <w:gridCol w:w="2000"/>
        <w:gridCol w:w="2100"/>
        <w:gridCol w:w="1500"/>
        <w:gridCol w:w="1500"/>
        <w:gridCol w:w="2521"/>
      </w:tblGrid>
      <w:tr w:rsidR="00F31D3B">
        <w:tblPrEx>
          <w:tblCellMar>
            <w:top w:w="0" w:type="dxa"/>
            <w:bottom w:w="0" w:type="dxa"/>
          </w:tblCellMar>
        </w:tblPrEx>
        <w:trPr>
          <w:trHeight w:val="300"/>
        </w:trPr>
        <w:tc>
          <w:tcPr>
            <w:tcW w:w="1462"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Дата реєстрації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Номер свідоцтва про реєстрацію випуску</w:t>
            </w: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Міжнародний ідентифікаційний номер</w:t>
            </w: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акцій у випуску (шт.)</w:t>
            </w:r>
          </w:p>
        </w:tc>
        <w:tc>
          <w:tcPr>
            <w:tcW w:w="21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Загальна номінальна вартість (грн)</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Загальна кількість голосуючих акцій (шт.)</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Кількість голосуючих акцій, права голосу за якими обмежено (шт.)</w:t>
            </w:r>
          </w:p>
        </w:tc>
        <w:tc>
          <w:tcPr>
            <w:tcW w:w="2521"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0"/>
                <w:szCs w:val="20"/>
              </w:rPr>
            </w:pPr>
            <w:r>
              <w:rPr>
                <w:rFonts w:ascii="Times New Roman CYR" w:hAnsi="Times New Roman CYR" w:cs="Times New Roman CYR"/>
                <w:b/>
                <w:bCs/>
                <w:sz w:val="20"/>
                <w:szCs w:val="20"/>
              </w:rPr>
              <w:t xml:space="preserve">Кількість голосуючих акцій, права голосу за якими за результатами обмеження таких прав передано іншій особі (шт.) </w:t>
            </w:r>
          </w:p>
        </w:tc>
      </w:tr>
      <w:tr w:rsidR="00F31D3B">
        <w:tblPrEx>
          <w:tblCellMar>
            <w:top w:w="0" w:type="dxa"/>
            <w:bottom w:w="0" w:type="dxa"/>
          </w:tblCellMar>
        </w:tblPrEx>
        <w:trPr>
          <w:trHeight w:val="300"/>
        </w:trPr>
        <w:tc>
          <w:tcPr>
            <w:tcW w:w="1462"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w:t>
            </w: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2</w:t>
            </w: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3</w:t>
            </w:r>
          </w:p>
        </w:tc>
        <w:tc>
          <w:tcPr>
            <w:tcW w:w="20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4</w:t>
            </w:r>
          </w:p>
        </w:tc>
        <w:tc>
          <w:tcPr>
            <w:tcW w:w="21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w:t>
            </w:r>
          </w:p>
        </w:tc>
        <w:tc>
          <w:tcPr>
            <w:tcW w:w="150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7</w:t>
            </w:r>
          </w:p>
        </w:tc>
        <w:tc>
          <w:tcPr>
            <w:tcW w:w="2521"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8</w:t>
            </w:r>
          </w:p>
        </w:tc>
      </w:tr>
      <w:tr w:rsidR="00F31D3B">
        <w:tblPrEx>
          <w:tblCellMar>
            <w:top w:w="0" w:type="dxa"/>
            <w:bottom w:w="0" w:type="dxa"/>
          </w:tblCellMar>
        </w:tblPrEx>
        <w:trPr>
          <w:trHeight w:val="300"/>
        </w:trPr>
        <w:tc>
          <w:tcPr>
            <w:tcW w:w="1462"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03.10.2010</w:t>
            </w: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55/03/1/10</w:t>
            </w: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UA4000156897</w:t>
            </w:r>
          </w:p>
        </w:tc>
        <w:tc>
          <w:tcPr>
            <w:tcW w:w="2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695 000</w:t>
            </w:r>
          </w:p>
        </w:tc>
        <w:tc>
          <w:tcPr>
            <w:tcW w:w="21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173 750</w:t>
            </w:r>
          </w:p>
        </w:tc>
        <w:tc>
          <w:tcPr>
            <w:tcW w:w="1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589 647</w:t>
            </w:r>
          </w:p>
        </w:tc>
        <w:tc>
          <w:tcPr>
            <w:tcW w:w="15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c>
          <w:tcPr>
            <w:tcW w:w="2521"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sz w:val="20"/>
                <w:szCs w:val="20"/>
              </w:rPr>
            </w:pPr>
            <w:r>
              <w:rPr>
                <w:rFonts w:ascii="Times New Roman CYR" w:hAnsi="Times New Roman CYR" w:cs="Times New Roman CYR"/>
                <w:sz w:val="20"/>
                <w:szCs w:val="20"/>
              </w:rPr>
              <w:t>0</w:t>
            </w:r>
          </w:p>
        </w:tc>
      </w:tr>
      <w:tr w:rsidR="00F31D3B">
        <w:tblPrEx>
          <w:tblCellMar>
            <w:top w:w="0" w:type="dxa"/>
            <w:bottom w:w="0" w:type="dxa"/>
          </w:tblCellMar>
        </w:tblPrEx>
        <w:trPr>
          <w:trHeight w:val="300"/>
        </w:trPr>
        <w:tc>
          <w:tcPr>
            <w:tcW w:w="15083" w:type="dxa"/>
            <w:gridSpan w:val="8"/>
            <w:tcBorders>
              <w:top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sz w:val="20"/>
                <w:szCs w:val="20"/>
              </w:rPr>
            </w:pPr>
            <w:r>
              <w:rPr>
                <w:rFonts w:ascii="Times New Roman CYR" w:hAnsi="Times New Roman CYR" w:cs="Times New Roman CYR"/>
                <w:b/>
                <w:bCs/>
                <w:sz w:val="20"/>
                <w:szCs w:val="20"/>
              </w:rPr>
              <w:t>Опис:</w:t>
            </w:r>
          </w:p>
        </w:tc>
      </w:tr>
      <w:tr w:rsidR="00F31D3B">
        <w:tblPrEx>
          <w:tblCellMar>
            <w:top w:w="0" w:type="dxa"/>
            <w:bottom w:w="0" w:type="dxa"/>
          </w:tblCellMar>
        </w:tblPrEx>
        <w:trPr>
          <w:trHeight w:val="300"/>
        </w:trPr>
        <w:tc>
          <w:tcPr>
            <w:tcW w:w="15083" w:type="dxa"/>
            <w:gridSpan w:val="8"/>
            <w:tcBorders>
              <w:top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both"/>
              <w:rPr>
                <w:rFonts w:ascii="Times New Roman CYR" w:hAnsi="Times New Roman CYR" w:cs="Times New Roman CYR"/>
                <w:sz w:val="20"/>
                <w:szCs w:val="20"/>
              </w:rPr>
            </w:pPr>
            <w:r>
              <w:rPr>
                <w:rFonts w:ascii="Times New Roman CYR" w:hAnsi="Times New Roman CYR" w:cs="Times New Roman CYR"/>
                <w:sz w:val="20"/>
                <w:szCs w:val="20"/>
              </w:rPr>
              <w:t>Голосуючих акцiй за якими обмежено право голосу немає.</w:t>
            </w:r>
          </w:p>
        </w:tc>
      </w:tr>
    </w:tbl>
    <w:p w:rsidR="00F31D3B" w:rsidRDefault="00F31D3B">
      <w:pPr>
        <w:widowControl w:val="0"/>
        <w:autoSpaceDE w:val="0"/>
        <w:autoSpaceDN w:val="0"/>
        <w:adjustRightInd w:val="0"/>
        <w:spacing w:after="0" w:line="240" w:lineRule="auto"/>
        <w:rPr>
          <w:rFonts w:ascii="Times New Roman CYR" w:hAnsi="Times New Roman CYR" w:cs="Times New Roman CYR"/>
          <w:sz w:val="20"/>
          <w:szCs w:val="20"/>
        </w:rPr>
      </w:pPr>
    </w:p>
    <w:p w:rsidR="00F31D3B" w:rsidRDefault="00F31D3B">
      <w:pPr>
        <w:widowControl w:val="0"/>
        <w:autoSpaceDE w:val="0"/>
        <w:autoSpaceDN w:val="0"/>
        <w:adjustRightInd w:val="0"/>
        <w:spacing w:after="0" w:line="240" w:lineRule="auto"/>
        <w:rPr>
          <w:rFonts w:ascii="Times New Roman CYR" w:hAnsi="Times New Roman CYR" w:cs="Times New Roman CYR"/>
          <w:sz w:val="20"/>
          <w:szCs w:val="20"/>
        </w:rPr>
        <w:sectPr w:rsidR="00F31D3B">
          <w:pgSz w:w="16838" w:h="11906" w:orient="landscape"/>
          <w:pgMar w:top="850" w:right="850" w:bottom="850" w:left="1400" w:header="708" w:footer="708" w:gutter="0"/>
          <w:cols w:space="720"/>
          <w:noEndnote/>
        </w:sectPr>
      </w:pPr>
    </w:p>
    <w:p w:rsidR="00F31D3B" w:rsidRDefault="00F31D3B">
      <w:pPr>
        <w:widowControl w:val="0"/>
        <w:autoSpaceDE w:val="0"/>
        <w:autoSpaceDN w:val="0"/>
        <w:adjustRightInd w:val="0"/>
        <w:spacing w:after="0" w:line="240" w:lineRule="auto"/>
        <w:rPr>
          <w:rFonts w:ascii="Times New Roman CYR" w:hAnsi="Times New Roman CYR" w:cs="Times New Roman CYR"/>
          <w:sz w:val="20"/>
          <w:szCs w:val="20"/>
        </w:r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XIII. Інформація про господарську та фінансову діяльність емітента</w:t>
      </w: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1. Інформація про основні засоби емітента (за залишковою вартістю)</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058"/>
        <w:gridCol w:w="1260"/>
        <w:gridCol w:w="1080"/>
        <w:gridCol w:w="1260"/>
        <w:gridCol w:w="1080"/>
        <w:gridCol w:w="1260"/>
        <w:gridCol w:w="1082"/>
      </w:tblGrid>
      <w:tr w:rsidR="00F31D3B">
        <w:tblPrEx>
          <w:tblCellMar>
            <w:top w:w="0" w:type="dxa"/>
            <w:bottom w:w="0" w:type="dxa"/>
          </w:tblCellMar>
        </w:tblPrEx>
        <w:trPr>
          <w:trHeight w:val="200"/>
        </w:trPr>
        <w:tc>
          <w:tcPr>
            <w:tcW w:w="3058" w:type="dxa"/>
            <w:vMerge w:val="restart"/>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Найменування основних засобів</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Власні основні засоби (тис. грн)</w:t>
            </w:r>
          </w:p>
        </w:tc>
        <w:tc>
          <w:tcPr>
            <w:tcW w:w="2340"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Орендовані основні засоби (тис. грн)</w:t>
            </w:r>
          </w:p>
        </w:tc>
        <w:tc>
          <w:tcPr>
            <w:tcW w:w="2342"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Основні засоби, усього (тис. грн)</w:t>
            </w:r>
          </w:p>
        </w:tc>
      </w:tr>
      <w:tr w:rsidR="00F31D3B">
        <w:tblPrEx>
          <w:tblCellMar>
            <w:top w:w="0" w:type="dxa"/>
            <w:bottom w:w="0" w:type="dxa"/>
          </w:tblCellMar>
        </w:tblPrEx>
        <w:trPr>
          <w:trHeight w:val="200"/>
        </w:trPr>
        <w:tc>
          <w:tcPr>
            <w:tcW w:w="3058" w:type="dxa"/>
            <w:vMerge/>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періоду</w:t>
            </w:r>
          </w:p>
        </w:tc>
        <w:tc>
          <w:tcPr>
            <w:tcW w:w="108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періоду</w:t>
            </w:r>
          </w:p>
        </w:tc>
      </w:tr>
      <w:tr w:rsidR="00F31D3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1. 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5 190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4 709</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5 190</w:t>
            </w:r>
          </w:p>
        </w:tc>
        <w:tc>
          <w:tcPr>
            <w:tcW w:w="108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4 709</w:t>
            </w:r>
          </w:p>
        </w:tc>
      </w:tr>
      <w:tr w:rsidR="00F31D3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3 809</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3 539</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3 809</w:t>
            </w:r>
          </w:p>
        </w:tc>
        <w:tc>
          <w:tcPr>
            <w:tcW w:w="108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3 539</w:t>
            </w:r>
          </w:p>
        </w:tc>
      </w:tr>
      <w:tr w:rsidR="00F31D3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959</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855</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959</w:t>
            </w:r>
          </w:p>
        </w:tc>
        <w:tc>
          <w:tcPr>
            <w:tcW w:w="108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855</w:t>
            </w:r>
          </w:p>
        </w:tc>
      </w:tr>
      <w:tr w:rsidR="00F31D3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315</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422</w:t>
            </w:r>
          </w:p>
        </w:tc>
        <w:tc>
          <w:tcPr>
            <w:tcW w:w="108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315</w:t>
            </w:r>
          </w:p>
        </w:tc>
      </w:tr>
      <w:tr w:rsidR="00F31D3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2. Невиробничого призначення:</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будівлі та споруди</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машини та обладнання</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транспортні засоби</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земельні ділянки</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інвестиційна нерухомість</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інші</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5 190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4 709</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0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2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5 190</w:t>
            </w:r>
          </w:p>
        </w:tc>
        <w:tc>
          <w:tcPr>
            <w:tcW w:w="1082"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4 709</w:t>
            </w:r>
          </w:p>
        </w:tc>
      </w:tr>
      <w:tr w:rsidR="00F31D3B">
        <w:tblPrEx>
          <w:tblCellMar>
            <w:top w:w="0" w:type="dxa"/>
            <w:bottom w:w="0" w:type="dxa"/>
          </w:tblCellMar>
        </w:tblPrEx>
        <w:trPr>
          <w:trHeight w:val="200"/>
        </w:trPr>
        <w:tc>
          <w:tcPr>
            <w:tcW w:w="3058"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7022" w:type="dxa"/>
            <w:gridSpan w:val="6"/>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Термiни користування основними засобами: будiвлями i спорудами - 50 рокiв, машинами тi обладнанням - 20 рокiв, iншими - 10 рокiв. </w:t>
            </w: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Основнi засоби товариство використовує за їх цiльовим призначенням - для здiйснення виробничої дiяльностi. </w:t>
            </w: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Основних засобiв невиробничого призначення та орендованих основних засобiв емiтент не має.</w:t>
            </w: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Первiсна вартiсть основних заcобiв 7458,3 тис.грн. </w:t>
            </w: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зносу основних засобiв складає 75 %</w:t>
            </w: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Сума нарахованого зносу -2749,2тис. грн.</w:t>
            </w: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Ступiнь використання 25%</w:t>
            </w: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Суттєвi змiни у вартостi основних засобiв протягом звiтного перiоду не вiдбувалися.</w:t>
            </w: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Обмежень на використання майна товариства немає</w:t>
            </w: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p>
        </w:tc>
      </w:tr>
    </w:tbl>
    <w:p w:rsidR="00F31D3B" w:rsidRDefault="00F31D3B">
      <w:pPr>
        <w:widowControl w:val="0"/>
        <w:autoSpaceDE w:val="0"/>
        <w:autoSpaceDN w:val="0"/>
        <w:adjustRightInd w:val="0"/>
        <w:spacing w:after="0" w:line="240" w:lineRule="auto"/>
        <w:rPr>
          <w:rFonts w:ascii="Times New Roman CYR" w:hAnsi="Times New Roman CYR" w:cs="Times New Roman CYR"/>
        </w:r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2. Інформація щодо вартості чистих активів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1260"/>
        <w:gridCol w:w="2740"/>
        <w:gridCol w:w="3000"/>
        <w:gridCol w:w="3000"/>
      </w:tblGrid>
      <w:tr w:rsidR="00F31D3B">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Найменування показника</w:t>
            </w:r>
          </w:p>
        </w:tc>
        <w:tc>
          <w:tcPr>
            <w:tcW w:w="3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 звітний період</w:t>
            </w:r>
          </w:p>
        </w:tc>
        <w:tc>
          <w:tcPr>
            <w:tcW w:w="3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За попередній період</w:t>
            </w:r>
          </w:p>
        </w:tc>
      </w:tr>
      <w:tr w:rsidR="00F31D3B">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Розрахункова вартість чистих активів (тис.грн)</w:t>
            </w:r>
          </w:p>
        </w:tc>
        <w:tc>
          <w:tcPr>
            <w:tcW w:w="3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4 314,8</w:t>
            </w:r>
          </w:p>
        </w:tc>
        <w:tc>
          <w:tcPr>
            <w:tcW w:w="3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4 156,9</w:t>
            </w:r>
          </w:p>
        </w:tc>
      </w:tr>
      <w:tr w:rsidR="00F31D3B">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Статутний капітал (тис.грн)</w:t>
            </w:r>
          </w:p>
        </w:tc>
        <w:tc>
          <w:tcPr>
            <w:tcW w:w="3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173,8</w:t>
            </w:r>
          </w:p>
        </w:tc>
        <w:tc>
          <w:tcPr>
            <w:tcW w:w="3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173,8</w:t>
            </w:r>
          </w:p>
        </w:tc>
      </w:tr>
      <w:tr w:rsidR="00F31D3B">
        <w:tblPrEx>
          <w:tblCellMar>
            <w:top w:w="0" w:type="dxa"/>
            <w:bottom w:w="0" w:type="dxa"/>
          </w:tblCellMar>
        </w:tblPrEx>
        <w:trPr>
          <w:trHeight w:val="200"/>
        </w:trPr>
        <w:tc>
          <w:tcPr>
            <w:tcW w:w="4000" w:type="dxa"/>
            <w:gridSpan w:val="2"/>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Скоригований статутний капітал </w:t>
            </w:r>
            <w:r>
              <w:rPr>
                <w:rFonts w:ascii="Times New Roman CYR" w:hAnsi="Times New Roman CYR" w:cs="Times New Roman CYR"/>
              </w:rPr>
              <w:lastRenderedPageBreak/>
              <w:t>(тис.грн)</w:t>
            </w:r>
          </w:p>
        </w:tc>
        <w:tc>
          <w:tcPr>
            <w:tcW w:w="300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173,8</w:t>
            </w:r>
          </w:p>
        </w:tc>
        <w:tc>
          <w:tcPr>
            <w:tcW w:w="3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173,8</w:t>
            </w:r>
          </w:p>
        </w:tc>
      </w:tr>
      <w:tr w:rsidR="00F31D3B">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lastRenderedPageBreak/>
              <w:t>Опис</w:t>
            </w:r>
          </w:p>
        </w:tc>
        <w:tc>
          <w:tcPr>
            <w:tcW w:w="8740" w:type="dxa"/>
            <w:gridSpan w:val="3"/>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 Розрахунок вартостi чистих активiв вiдбувався вiдповiдно до методичних рекомендацiй ДКЦПФР (Рiшення № 485 вiд 17.11.2004 року) та Положення (стандарт) бухгалтерського облiку 2"Баланс",затвердженого Наказом Мiнiстерства фiнансiв України 31.03.99 N 87. Визначення вартостi чистих активiв проводилося за формулою: Чистi активи = Необоротнi активи + Оборотнi активи + Витрати майбутнiх перiодiв- Довгостроковi зобов'язання - Поточнi зобов'язання - Забезпечення наступних виплат i платежiв - Доходи майбутнiх перiодiв </w:t>
            </w: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p>
        </w:tc>
      </w:tr>
      <w:tr w:rsidR="00F31D3B">
        <w:tblPrEx>
          <w:tblCellMar>
            <w:top w:w="0" w:type="dxa"/>
            <w:bottom w:w="0" w:type="dxa"/>
          </w:tblCellMar>
        </w:tblPrEx>
        <w:trPr>
          <w:trHeight w:val="200"/>
        </w:trPr>
        <w:tc>
          <w:tcPr>
            <w:tcW w:w="126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Висновок</w:t>
            </w:r>
          </w:p>
        </w:tc>
        <w:tc>
          <w:tcPr>
            <w:tcW w:w="8740" w:type="dxa"/>
            <w:gridSpan w:val="3"/>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 xml:space="preserve"> Розрахункова вартiсть чистих активiв  бiльша розмiру статутного капiталу, що  вiдповiдає вимогам статтi 155 п.3 Цивiльного кодексу України. </w:t>
            </w: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p>
        </w:tc>
      </w:tr>
    </w:tbl>
    <w:p w:rsidR="00F31D3B" w:rsidRDefault="00F31D3B">
      <w:pPr>
        <w:widowControl w:val="0"/>
        <w:autoSpaceDE w:val="0"/>
        <w:autoSpaceDN w:val="0"/>
        <w:adjustRightInd w:val="0"/>
        <w:spacing w:after="0" w:line="240" w:lineRule="auto"/>
        <w:rPr>
          <w:rFonts w:ascii="Times New Roman CYR" w:hAnsi="Times New Roman CYR" w:cs="Times New Roman CYR"/>
        </w:r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3. Інформація про зобов'язання та забезпечення емітента</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3780"/>
        <w:gridCol w:w="1440"/>
        <w:gridCol w:w="1480"/>
        <w:gridCol w:w="1940"/>
        <w:gridCol w:w="1328"/>
      </w:tblGrid>
      <w:tr w:rsidR="00F31D3B">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Види зобов’язань</w:t>
            </w:r>
          </w:p>
        </w:tc>
        <w:tc>
          <w:tcPr>
            <w:tcW w:w="14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виникнення</w:t>
            </w:r>
          </w:p>
        </w:tc>
        <w:tc>
          <w:tcPr>
            <w:tcW w:w="14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Непогашена частина боргу (тис. грн)</w:t>
            </w:r>
          </w:p>
        </w:tc>
        <w:tc>
          <w:tcPr>
            <w:tcW w:w="19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Відсоток за користування коштами (відсоток річних)</w:t>
            </w:r>
          </w:p>
        </w:tc>
        <w:tc>
          <w:tcPr>
            <w:tcW w:w="1328"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Дата погашення</w:t>
            </w:r>
          </w:p>
        </w:tc>
      </w:tr>
      <w:tr w:rsidR="00F31D3B">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Кредити банку</w:t>
            </w:r>
          </w:p>
        </w:tc>
        <w:tc>
          <w:tcPr>
            <w:tcW w:w="14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w:t>
            </w:r>
          </w:p>
        </w:tc>
        <w:tc>
          <w:tcPr>
            <w:tcW w:w="19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F31D3B">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r>
      <w:tr w:rsidR="00F31D3B">
        <w:tblPrEx>
          <w:tblCellMar>
            <w:top w:w="0" w:type="dxa"/>
            <w:bottom w:w="0" w:type="dxa"/>
          </w:tblCellMar>
        </w:tblPrEx>
        <w:trPr>
          <w:trHeight w:val="200"/>
        </w:trPr>
        <w:tc>
          <w:tcPr>
            <w:tcW w:w="378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короткостроковий</w:t>
            </w:r>
          </w:p>
        </w:tc>
        <w:tc>
          <w:tcPr>
            <w:tcW w:w="144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21.12.2021</w:t>
            </w:r>
          </w:p>
        </w:tc>
        <w:tc>
          <w:tcPr>
            <w:tcW w:w="148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w:t>
            </w:r>
          </w:p>
        </w:tc>
        <w:tc>
          <w:tcPr>
            <w:tcW w:w="1940" w:type="dxa"/>
            <w:tcBorders>
              <w:top w:val="single" w:sz="6" w:space="0" w:color="auto"/>
              <w:left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12,9</w:t>
            </w:r>
          </w:p>
        </w:tc>
        <w:tc>
          <w:tcPr>
            <w:tcW w:w="1328"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20.12.2023</w:t>
            </w:r>
          </w:p>
        </w:tc>
      </w:tr>
      <w:tr w:rsidR="00F31D3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Зобов’язання за цінними паперами</w:t>
            </w:r>
          </w:p>
        </w:tc>
        <w:tc>
          <w:tcPr>
            <w:tcW w:w="14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F31D3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 тому числі:</w:t>
            </w:r>
          </w:p>
        </w:tc>
        <w:tc>
          <w:tcPr>
            <w:tcW w:w="6188" w:type="dxa"/>
            <w:gridSpan w:val="4"/>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p>
        </w:tc>
      </w:tr>
      <w:tr w:rsidR="00F31D3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облігаціями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F31D3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іпотечними цінними паперами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F31D3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сертифікатами ФОН (за кожним власним випуском):</w:t>
            </w:r>
          </w:p>
        </w:tc>
        <w:tc>
          <w:tcPr>
            <w:tcW w:w="14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F31D3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векселями (всього)</w:t>
            </w:r>
          </w:p>
        </w:tc>
        <w:tc>
          <w:tcPr>
            <w:tcW w:w="14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F31D3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іншими цінними паперами (у тому числі за похідними цінними паперами)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F31D3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 фінансовими інвестиціями в корпоративні права (за кожним видом):</w:t>
            </w:r>
          </w:p>
        </w:tc>
        <w:tc>
          <w:tcPr>
            <w:tcW w:w="14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F31D3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Податкові зобов'язання</w:t>
            </w:r>
          </w:p>
        </w:tc>
        <w:tc>
          <w:tcPr>
            <w:tcW w:w="14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208,4</w:t>
            </w:r>
          </w:p>
        </w:tc>
        <w:tc>
          <w:tcPr>
            <w:tcW w:w="19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F31D3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Фінансова допомога на зворотній основі</w:t>
            </w:r>
          </w:p>
        </w:tc>
        <w:tc>
          <w:tcPr>
            <w:tcW w:w="14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9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F31D3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зобов'язання та забезпечення</w:t>
            </w:r>
          </w:p>
        </w:tc>
        <w:tc>
          <w:tcPr>
            <w:tcW w:w="14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10 047,4</w:t>
            </w:r>
          </w:p>
        </w:tc>
        <w:tc>
          <w:tcPr>
            <w:tcW w:w="19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F31D3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Усього зобов'язань та забезпечень</w:t>
            </w:r>
          </w:p>
        </w:tc>
        <w:tc>
          <w:tcPr>
            <w:tcW w:w="14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48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10 505,8</w:t>
            </w:r>
          </w:p>
        </w:tc>
        <w:tc>
          <w:tcPr>
            <w:tcW w:w="194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c>
          <w:tcPr>
            <w:tcW w:w="1328"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X</w:t>
            </w:r>
          </w:p>
        </w:tc>
      </w:tr>
      <w:tr w:rsidR="00F31D3B">
        <w:tblPrEx>
          <w:tblCellMar>
            <w:top w:w="0" w:type="dxa"/>
            <w:bottom w:w="0" w:type="dxa"/>
          </w:tblCellMar>
        </w:tblPrEx>
        <w:trPr>
          <w:trHeight w:val="300"/>
        </w:trPr>
        <w:tc>
          <w:tcPr>
            <w:tcW w:w="378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Опис</w:t>
            </w:r>
          </w:p>
        </w:tc>
        <w:tc>
          <w:tcPr>
            <w:tcW w:w="6188" w:type="dxa"/>
            <w:gridSpan w:val="4"/>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w:t>
            </w:r>
          </w:p>
        </w:tc>
      </w:tr>
    </w:tbl>
    <w:p w:rsidR="00F31D3B" w:rsidRDefault="00F31D3B">
      <w:pPr>
        <w:widowControl w:val="0"/>
        <w:autoSpaceDE w:val="0"/>
        <w:autoSpaceDN w:val="0"/>
        <w:adjustRightInd w:val="0"/>
        <w:spacing w:after="0" w:line="240" w:lineRule="auto"/>
        <w:rPr>
          <w:rFonts w:ascii="Times New Roman CYR" w:hAnsi="Times New Roman CYR" w:cs="Times New Roman CYR"/>
        </w:r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6. Інформація про осіб, послугами яких користується емітент</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Публiчне акцiонерне товариство "Нацiональний Депозiтарiй України</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Публічне акціонерне товариство</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30370711</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Місцезнаходження</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01001, - р-н, м.Київ, Тропiнiна, 7Г</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Рiшення № 2092</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 xml:space="preserve">Найменування державного органу, що видав ліцензію </w:t>
            </w:r>
            <w:r>
              <w:rPr>
                <w:rFonts w:ascii="Times New Roman CYR" w:hAnsi="Times New Roman CYR" w:cs="Times New Roman CYR"/>
                <w:b/>
                <w:bCs/>
              </w:rPr>
              <w:lastRenderedPageBreak/>
              <w:t>або інший документ</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lastRenderedPageBreak/>
              <w:t>НКЦПФР</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lastRenderedPageBreak/>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Міжміський код та телефон</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591-04-00</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Факс</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591-04-00</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діяльності</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Професiйна дiяльнiсть на фондовому ринку - депозитарна дiяльнiсть, а саме депозитарна дiяльнiсть дипозитарiю цiнних паперiв</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Професiйна дiяльнiсть на фондовому ринку - депозитарна дiяльнiсть, а саме депозитарна дiяльнiсть дипозитарiю цiнних паперiв.</w:t>
            </w: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ПАТ "Нацiональний Депозитарiй України" здiйснює свою дiяльнiсть без лiцензiї та дiє на пiдставi Правил Центрального депозитарiю цiнних паперiв. Надає Емiтенту послуги щодо обслуговування випуску цiнних паперiв.</w:t>
            </w: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p>
        </w:tc>
      </w:tr>
    </w:tbl>
    <w:p w:rsidR="00F31D3B" w:rsidRDefault="00F31D3B">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ДУ "Агентство з розвитку iнфраструктури фондового ринку України"</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Інші організаційно-правові форми</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21676262</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Місцезнаходження</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03150, м.Київ, вул.Антоновича,51 оф.1206</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DR/00002/ARM</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НКЦПФР</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18.02.2019</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Міжміський код та телефон</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287-56-70</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Факс</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(044) 287-56-73</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діяльності</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Дiяльнiсть з подання звiтностi та/або адмiнiстративних даних до НКЦПФР</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Подання звiтностi до НКЦПФР</w:t>
            </w:r>
          </w:p>
        </w:tc>
      </w:tr>
    </w:tbl>
    <w:p w:rsidR="00F31D3B" w:rsidRDefault="00F31D3B">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6000"/>
        <w:gridCol w:w="4000"/>
      </w:tblGrid>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Повне найменування юридичної особи або прізвище, ім'я, по батькові фізичної особи</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 "ФК "Захiдiнвест"</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Товариство з обмеженою відповідальністю</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Ідентифікаційний код юридичної особи</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30610731</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Місцезнаходження</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76018, м.Iвано-Франкiвськ, пл.Мiцкевича, буд.6, офiс 5</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Номер ліцензії або іншого документа на цей вид діяльності</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АЕ 294486</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Найменування державного органу, що видав ліцензію або інший документ</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НКЦПФР</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видачі ліцензії або іншого документа</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25.10.2014</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Міжміський код та телефон</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(0342)525767</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Факс</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(0342)525767</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lastRenderedPageBreak/>
              <w:t>Вид діяльності</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Депозитарна дiяльнiсть депозитарної установи</w:t>
            </w:r>
          </w:p>
        </w:tc>
      </w:tr>
      <w:tr w:rsidR="00F31D3B">
        <w:tblPrEx>
          <w:tblCellMar>
            <w:top w:w="0" w:type="dxa"/>
            <w:bottom w:w="0" w:type="dxa"/>
          </w:tblCellMar>
        </w:tblPrEx>
        <w:trPr>
          <w:trHeight w:val="200"/>
        </w:trPr>
        <w:tc>
          <w:tcPr>
            <w:tcW w:w="6000" w:type="dxa"/>
            <w:tcBorders>
              <w:top w:val="single" w:sz="6" w:space="0" w:color="auto"/>
              <w:bottom w:val="single" w:sz="6" w:space="0" w:color="auto"/>
              <w:right w:val="single" w:sz="6" w:space="0" w:color="auto"/>
            </w:tcBorders>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Опис</w:t>
            </w:r>
          </w:p>
        </w:tc>
        <w:tc>
          <w:tcPr>
            <w:tcW w:w="4000" w:type="dxa"/>
            <w:tcBorders>
              <w:top w:val="single" w:sz="6" w:space="0" w:color="auto"/>
              <w:left w:val="single" w:sz="6" w:space="0" w:color="auto"/>
              <w:bottom w:val="single" w:sz="6" w:space="0" w:color="auto"/>
            </w:tcBorders>
          </w:tcPr>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Професiйна дiяльнiсть на фондовому ринку - депозитарна дiяльнiсть.</w:t>
            </w:r>
          </w:p>
        </w:tc>
      </w:tr>
    </w:tbl>
    <w:p w:rsidR="00F31D3B" w:rsidRDefault="00F31D3B">
      <w:pPr>
        <w:widowControl w:val="0"/>
        <w:autoSpaceDE w:val="0"/>
        <w:autoSpaceDN w:val="0"/>
        <w:adjustRightInd w:val="0"/>
        <w:spacing w:after="0" w:line="240" w:lineRule="auto"/>
        <w:rPr>
          <w:rFonts w:ascii="Times New Roman CYR" w:hAnsi="Times New Roman CYR" w:cs="Times New Roman CYR"/>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Фінансова звітність</w:t>
      </w: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малого підприємництва</w:t>
      </w:r>
    </w:p>
    <w:tbl>
      <w:tblPr>
        <w:tblW w:w="0" w:type="auto"/>
        <w:tblInd w:w="108" w:type="dxa"/>
        <w:tblLayout w:type="fixed"/>
        <w:tblLook w:val="0000"/>
      </w:tblPr>
      <w:tblGrid>
        <w:gridCol w:w="2160"/>
        <w:gridCol w:w="4490"/>
        <w:gridCol w:w="1990"/>
        <w:gridCol w:w="1360"/>
      </w:tblGrid>
      <w:tr w:rsidR="00F31D3B">
        <w:tblPrEx>
          <w:tblCellMar>
            <w:top w:w="0" w:type="dxa"/>
            <w:bottom w:w="0" w:type="dxa"/>
          </w:tblCellMar>
        </w:tblPrEx>
        <w:trPr>
          <w:gridBefore w:val="3"/>
          <w:wBefore w:w="8640" w:type="dxa"/>
          <w:trHeight w:val="298"/>
        </w:trPr>
        <w:tc>
          <w:tcPr>
            <w:tcW w:w="13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b/>
                <w:bCs/>
              </w:rPr>
            </w:pPr>
            <w:r>
              <w:rPr>
                <w:rFonts w:ascii="Times New Roman CYR" w:hAnsi="Times New Roman CYR" w:cs="Times New Roman CYR"/>
                <w:b/>
                <w:bCs/>
              </w:rPr>
              <w:t>КОДИ</w:t>
            </w:r>
          </w:p>
        </w:tc>
      </w:tr>
      <w:tr w:rsidR="00F31D3B">
        <w:tblPrEx>
          <w:tblCellMar>
            <w:top w:w="0" w:type="dxa"/>
            <w:bottom w:w="0" w:type="dxa"/>
          </w:tblCellMar>
        </w:tblPrEx>
        <w:trPr>
          <w:gridBefore w:val="2"/>
          <w:wBefore w:w="6650" w:type="dxa"/>
          <w:trHeight w:val="298"/>
        </w:trPr>
        <w:tc>
          <w:tcPr>
            <w:tcW w:w="1990" w:type="dxa"/>
            <w:tcBorders>
              <w:top w:val="nil"/>
              <w:left w:val="nil"/>
              <w:bottom w:val="nil"/>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Дата (рік, місяць, число)</w:t>
            </w:r>
          </w:p>
        </w:tc>
        <w:tc>
          <w:tcPr>
            <w:tcW w:w="13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2023.01.01</w:t>
            </w:r>
          </w:p>
        </w:tc>
      </w:tr>
      <w:tr w:rsidR="00F31D3B">
        <w:tblPrEx>
          <w:tblCellMar>
            <w:top w:w="0" w:type="dxa"/>
            <w:bottom w:w="0" w:type="dxa"/>
          </w:tblCellMar>
        </w:tblPrEx>
        <w:tc>
          <w:tcPr>
            <w:tcW w:w="2160" w:type="dxa"/>
            <w:tcBorders>
              <w:top w:val="nil"/>
              <w:left w:val="nil"/>
              <w:bottom w:val="nil"/>
              <w:right w:val="nil"/>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Підприємство</w:t>
            </w:r>
          </w:p>
        </w:tc>
        <w:tc>
          <w:tcPr>
            <w:tcW w:w="4490" w:type="dxa"/>
            <w:vMerge w:val="restart"/>
            <w:tcBorders>
              <w:top w:val="nil"/>
              <w:left w:val="nil"/>
              <w:bottom w:val="nil"/>
              <w:right w:val="nil"/>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Приватне акцiонерне товариство "Сяйво"</w:t>
            </w:r>
          </w:p>
        </w:tc>
        <w:tc>
          <w:tcPr>
            <w:tcW w:w="1990" w:type="dxa"/>
            <w:tcBorders>
              <w:top w:val="nil"/>
              <w:left w:val="nil"/>
              <w:bottom w:val="nil"/>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ЄДРПОУ</w:t>
            </w:r>
          </w:p>
        </w:tc>
        <w:tc>
          <w:tcPr>
            <w:tcW w:w="13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21750308</w:t>
            </w:r>
          </w:p>
        </w:tc>
      </w:tr>
      <w:tr w:rsidR="00F31D3B">
        <w:tblPrEx>
          <w:tblCellMar>
            <w:top w:w="0" w:type="dxa"/>
            <w:bottom w:w="0" w:type="dxa"/>
          </w:tblCellMar>
        </w:tblPrEx>
        <w:tc>
          <w:tcPr>
            <w:tcW w:w="2160" w:type="dxa"/>
            <w:tcBorders>
              <w:top w:val="nil"/>
              <w:left w:val="nil"/>
              <w:bottom w:val="nil"/>
              <w:right w:val="nil"/>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Територія</w:t>
            </w:r>
          </w:p>
        </w:tc>
        <w:tc>
          <w:tcPr>
            <w:tcW w:w="4490" w:type="dxa"/>
            <w:vMerge w:val="restart"/>
            <w:tcBorders>
              <w:top w:val="nil"/>
              <w:left w:val="nil"/>
              <w:bottom w:val="nil"/>
              <w:right w:val="nil"/>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w:t>
            </w:r>
          </w:p>
        </w:tc>
        <w:tc>
          <w:tcPr>
            <w:tcW w:w="1990" w:type="dxa"/>
            <w:tcBorders>
              <w:top w:val="nil"/>
              <w:left w:val="nil"/>
              <w:bottom w:val="nil"/>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КАТОТТГ</w:t>
            </w:r>
          </w:p>
        </w:tc>
        <w:tc>
          <w:tcPr>
            <w:tcW w:w="1360" w:type="dxa"/>
            <w:tcBorders>
              <w:top w:val="single" w:sz="6" w:space="0" w:color="auto"/>
              <w:left w:val="single" w:sz="6" w:space="0" w:color="auto"/>
              <w:bottom w:val="single" w:sz="6" w:space="0" w:color="auto"/>
              <w:right w:val="single" w:sz="6" w:space="0" w:color="auto"/>
            </w:tcBorders>
            <w:vAlign w:val="center"/>
          </w:tcPr>
          <w:p w:rsidR="00F31D3B" w:rsidRDefault="001222FE">
            <w:pPr>
              <w:widowControl w:val="0"/>
              <w:autoSpaceDE w:val="0"/>
              <w:autoSpaceDN w:val="0"/>
              <w:adjustRightInd w:val="0"/>
              <w:spacing w:after="0" w:line="240" w:lineRule="auto"/>
              <w:jc w:val="center"/>
              <w:rPr>
                <w:rFonts w:ascii="Times New Roman CYR" w:hAnsi="Times New Roman CYR" w:cs="Times New Roman CYR"/>
              </w:rPr>
            </w:pPr>
            <w:r w:rsidRPr="001222FE">
              <w:rPr>
                <w:rFonts w:ascii="Times New Roman CYR" w:hAnsi="Times New Roman CYR" w:cs="Times New Roman CYR"/>
              </w:rPr>
              <w:t>UA07080170010083384</w:t>
            </w:r>
          </w:p>
        </w:tc>
      </w:tr>
      <w:tr w:rsidR="00F31D3B">
        <w:tblPrEx>
          <w:tblCellMar>
            <w:top w:w="0" w:type="dxa"/>
            <w:bottom w:w="0" w:type="dxa"/>
          </w:tblCellMar>
        </w:tblPrEx>
        <w:tc>
          <w:tcPr>
            <w:tcW w:w="2160" w:type="dxa"/>
            <w:tcBorders>
              <w:top w:val="nil"/>
              <w:left w:val="nil"/>
              <w:bottom w:val="nil"/>
              <w:right w:val="nil"/>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Організаційно-правова форма господарювання</w:t>
            </w:r>
          </w:p>
        </w:tc>
        <w:tc>
          <w:tcPr>
            <w:tcW w:w="4490" w:type="dxa"/>
            <w:vMerge w:val="restart"/>
            <w:tcBorders>
              <w:top w:val="nil"/>
              <w:left w:val="nil"/>
              <w:bottom w:val="nil"/>
              <w:right w:val="nil"/>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Акціонерне товариство</w:t>
            </w:r>
          </w:p>
        </w:tc>
        <w:tc>
          <w:tcPr>
            <w:tcW w:w="1990" w:type="dxa"/>
            <w:tcBorders>
              <w:top w:val="nil"/>
              <w:left w:val="nil"/>
              <w:bottom w:val="nil"/>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КОПФГ</w:t>
            </w:r>
          </w:p>
        </w:tc>
        <w:tc>
          <w:tcPr>
            <w:tcW w:w="13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w:t>
            </w:r>
          </w:p>
        </w:tc>
      </w:tr>
      <w:tr w:rsidR="00F31D3B">
        <w:tblPrEx>
          <w:tblCellMar>
            <w:top w:w="0" w:type="dxa"/>
            <w:bottom w:w="0" w:type="dxa"/>
          </w:tblCellMar>
        </w:tblPrEx>
        <w:trPr>
          <w:trHeight w:val="298"/>
        </w:trPr>
        <w:tc>
          <w:tcPr>
            <w:tcW w:w="2160" w:type="dxa"/>
            <w:vMerge w:val="restart"/>
            <w:tcBorders>
              <w:top w:val="nil"/>
              <w:left w:val="nil"/>
              <w:bottom w:val="nil"/>
              <w:right w:val="nil"/>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Вид економічної діяльності</w:t>
            </w:r>
          </w:p>
        </w:tc>
        <w:tc>
          <w:tcPr>
            <w:tcW w:w="4490" w:type="dxa"/>
            <w:vMerge w:val="restart"/>
            <w:tcBorders>
              <w:top w:val="nil"/>
              <w:left w:val="nil"/>
              <w:bottom w:val="nil"/>
              <w:right w:val="nil"/>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Виробництво замків і дверних петель</w:t>
            </w:r>
          </w:p>
        </w:tc>
        <w:tc>
          <w:tcPr>
            <w:tcW w:w="1990" w:type="dxa"/>
            <w:tcBorders>
              <w:top w:val="nil"/>
              <w:left w:val="nil"/>
              <w:bottom w:val="nil"/>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b/>
                <w:bCs/>
              </w:rPr>
            </w:pPr>
            <w:r>
              <w:rPr>
                <w:rFonts w:ascii="Times New Roman CYR" w:hAnsi="Times New Roman CYR" w:cs="Times New Roman CYR"/>
                <w:b/>
                <w:bCs/>
              </w:rPr>
              <w:t>за КВЕД</w:t>
            </w:r>
          </w:p>
        </w:tc>
        <w:tc>
          <w:tcPr>
            <w:tcW w:w="136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25.72</w:t>
            </w:r>
          </w:p>
        </w:tc>
      </w:tr>
    </w:tbl>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Середня кількість працівників, осіб: </w:t>
      </w:r>
      <w:r>
        <w:rPr>
          <w:rFonts w:ascii="Times New Roman CYR" w:hAnsi="Times New Roman CYR" w:cs="Times New Roman CYR"/>
        </w:rPr>
        <w:t>29</w:t>
      </w:r>
    </w:p>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Одиниця виміру: </w:t>
      </w:r>
      <w:r>
        <w:rPr>
          <w:rFonts w:ascii="Times New Roman CYR" w:hAnsi="Times New Roman CYR" w:cs="Times New Roman CYR"/>
        </w:rPr>
        <w:t>тис.грн. з одним десятковим знаком</w:t>
      </w:r>
    </w:p>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Адреса, телефон: </w:t>
      </w:r>
      <w:r>
        <w:rPr>
          <w:rFonts w:ascii="Times New Roman CYR" w:hAnsi="Times New Roman CYR" w:cs="Times New Roman CYR"/>
        </w:rPr>
        <w:t>43017, Волинська обл., - р-н, м.Луцьк, вул. Мамсурова, 12Г, (0332) 20-07-50</w:t>
      </w: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t>1. Баланс</w:t>
      </w:r>
    </w:p>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31.12.2022 p.</w:t>
      </w:r>
    </w:p>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№1-м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874"/>
        <w:gridCol w:w="855"/>
        <w:gridCol w:w="645"/>
        <w:gridCol w:w="1000"/>
      </w:tblGrid>
      <w:tr w:rsidR="00F31D3B">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F31D3B" w:rsidRDefault="00F31D3B">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1801006</w:t>
            </w:r>
          </w:p>
        </w:tc>
      </w:tr>
      <w:tr w:rsidR="00F31D3B">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Актив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року</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Нематеріальні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Накопичена амортизація</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Незавершені капітальні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1005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Основні засоби</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5190,1</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4709,1</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первісна вартість</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1011</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7412,3</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7458,3</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знос</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1012</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(2222,2)</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(2749,2)</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Довгострокові біологічні активи </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Довгострокові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1030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необоротні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5190,1</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4709,1</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Запаси:</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990,5</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1213,4</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готова продукція</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1103</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402,6</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559,8</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біологічні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1110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1125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6576,1</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7708,3</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Дебіторська заборгованість за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1136</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Інша поточна дебіторська заборгованість</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331,9</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694,2</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Поточні фінансові інвестиції</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Гроші та їх еквіваленти</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1165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376,5</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495,6</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lastRenderedPageBreak/>
              <w:t>Витрати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оборотні активи</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II</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1195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8275</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10111,5</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III. Необоротні активи, утримувані для продажу, та групи вибуття</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13465,1</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14820,6</w:t>
            </w:r>
          </w:p>
        </w:tc>
      </w:tr>
    </w:tbl>
    <w:p w:rsidR="00F31D3B" w:rsidRDefault="00F31D3B">
      <w:pPr>
        <w:widowControl w:val="0"/>
        <w:autoSpaceDE w:val="0"/>
        <w:autoSpaceDN w:val="0"/>
        <w:adjustRightInd w:val="0"/>
        <w:spacing w:after="0" w:line="240" w:lineRule="auto"/>
        <w:rPr>
          <w:rFonts w:ascii="Times New Roman CYR" w:hAnsi="Times New Roman CYR" w:cs="Times New Roman CYR"/>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1729"/>
        <w:gridCol w:w="1645"/>
      </w:tblGrid>
      <w:tr w:rsidR="00F31D3B">
        <w:tblPrEx>
          <w:tblCellMar>
            <w:top w:w="0" w:type="dxa"/>
            <w:bottom w:w="0" w:type="dxa"/>
          </w:tblCellMar>
        </w:tblPrEx>
        <w:trPr>
          <w:trHeight w:val="529"/>
        </w:trPr>
        <w:tc>
          <w:tcPr>
            <w:tcW w:w="5850" w:type="dxa"/>
            <w:tcBorders>
              <w:top w:val="single" w:sz="6" w:space="0" w:color="auto"/>
              <w:bottom w:val="single" w:sz="6" w:space="0" w:color="auto"/>
              <w:right w:val="single" w:sz="6" w:space="0" w:color="auto"/>
            </w:tcBorders>
            <w:shd w:val="clear" w:color="auto" w:fill="E6E6E6"/>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Пасив</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tcBorders>
              <w:top w:val="single" w:sz="6" w:space="0" w:color="auto"/>
              <w:left w:val="single" w:sz="6" w:space="0" w:color="auto"/>
              <w:bottom w:val="single" w:sz="6" w:space="0" w:color="auto"/>
              <w:right w:val="single" w:sz="6" w:space="0" w:color="auto"/>
            </w:tcBorders>
            <w:shd w:val="clear" w:color="auto" w:fill="E6E6E6"/>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початок звітного року</w:t>
            </w:r>
          </w:p>
        </w:tc>
        <w:tc>
          <w:tcPr>
            <w:tcW w:w="1645" w:type="dxa"/>
            <w:tcBorders>
              <w:top w:val="single" w:sz="6" w:space="0" w:color="auto"/>
              <w:left w:val="single" w:sz="6" w:space="0" w:color="auto"/>
              <w:bottom w:val="single" w:sz="6" w:space="0" w:color="auto"/>
            </w:tcBorders>
            <w:shd w:val="clear" w:color="auto" w:fill="E6E6E6"/>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На кінець звітного періоду</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tcBorders>
              <w:top w:val="single" w:sz="6" w:space="0" w:color="auto"/>
              <w:left w:val="single" w:sz="6" w:space="0" w:color="auto"/>
              <w:bottom w:val="single" w:sz="6" w:space="0" w:color="auto"/>
              <w:right w:val="single" w:sz="6" w:space="0" w:color="auto"/>
            </w:tcBorders>
            <w:shd w:val="clear" w:color="auto" w:fill="E6E6E6"/>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tcBorders>
              <w:top w:val="single" w:sz="6" w:space="0" w:color="auto"/>
              <w:left w:val="single" w:sz="6" w:space="0" w:color="auto"/>
              <w:bottom w:val="single" w:sz="6" w:space="0" w:color="auto"/>
            </w:tcBorders>
            <w:shd w:val="clear" w:color="auto" w:fill="E6E6E6"/>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 Власний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r>
      <w:tr w:rsidR="00F31D3B">
        <w:tblPrEx>
          <w:tblCellMar>
            <w:top w:w="0" w:type="dxa"/>
            <w:bottom w:w="0" w:type="dxa"/>
          </w:tblCellMar>
        </w:tblPrEx>
        <w:trPr>
          <w:trHeight w:val="205"/>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Зареєстрований (пайовий)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1400</w:t>
            </w: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173,8</w:t>
            </w: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173,8</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Додатковий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1410</w:t>
            </w: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4210,6</w:t>
            </w: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4210,6</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Резервний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1415</w:t>
            </w: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Нерозподілений прибуток (непокритий збиток)</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1420</w:t>
            </w: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-227,5</w:t>
            </w: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-69,6</w:t>
            </w:r>
          </w:p>
        </w:tc>
      </w:tr>
      <w:tr w:rsidR="00F31D3B">
        <w:tblPrEx>
          <w:tblBorders>
            <w:top w:val="none" w:sz="0" w:space="0" w:color="auto"/>
            <w:left w:val="none" w:sz="0" w:space="0" w:color="auto"/>
            <w:bottom w:val="none" w:sz="0" w:space="0" w:color="auto"/>
            <w:right w:val="none" w:sz="0" w:space="0" w:color="auto"/>
          </w:tblBorders>
          <w:tblCellMar>
            <w:top w:w="0" w:type="dxa"/>
            <w:bottom w:w="0" w:type="dxa"/>
          </w:tblCellMar>
        </w:tblPrEx>
        <w:trPr>
          <w:trHeight w:val="200"/>
        </w:trPr>
        <w:tc>
          <w:tcPr>
            <w:tcW w:w="5850"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Неоплачений капітал</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1425</w:t>
            </w: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1495</w:t>
            </w: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4156,9</w:t>
            </w: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4314,8</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 Довгострокові зобов`язання, цільове фінансування та забезпечення</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1595</w:t>
            </w: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III.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Короткострокові кредити банків</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1600</w:t>
            </w: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500</w:t>
            </w: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250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Поточна кредиторська заборгованість за: довгостроковими зобов'язаннями</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1610</w:t>
            </w: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товари, роботи, послуги</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1615</w:t>
            </w: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7897,3</w:t>
            </w: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9794,3</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бюджетом</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1620</w:t>
            </w: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59,3</w:t>
            </w: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208,4</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у тому числі з податку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1621</w:t>
            </w: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w:t>
            </w: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34,4</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зі страхування</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1625</w:t>
            </w: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30,6</w:t>
            </w: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 xml:space="preserve">    розрахунками з оплати праці</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1630</w:t>
            </w: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113,2</w:t>
            </w: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89</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Доходи майбутніх періодів</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1665</w:t>
            </w: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поточні зобов'язання</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1690</w:t>
            </w: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707,8</w:t>
            </w: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141,1</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Усього за розділом III</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1695</w:t>
            </w: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9308,2</w:t>
            </w: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10505,8</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IV. Зобов'язання, пов'язані з необоротними активами, утримуваними для продажу, та групами вибуття</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1700</w:t>
            </w: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Баланс</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1900</w:t>
            </w:r>
          </w:p>
        </w:tc>
        <w:tc>
          <w:tcPr>
            <w:tcW w:w="1729"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13465,1</w:t>
            </w:r>
          </w:p>
        </w:tc>
        <w:tc>
          <w:tcPr>
            <w:tcW w:w="1645"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14820,6</w:t>
            </w:r>
          </w:p>
        </w:tc>
      </w:tr>
    </w:tbl>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w:t>
      </w:r>
    </w:p>
    <w:p w:rsidR="00F31D3B" w:rsidRDefault="00F31D3B">
      <w:pPr>
        <w:widowControl w:val="0"/>
        <w:autoSpaceDE w:val="0"/>
        <w:autoSpaceDN w:val="0"/>
        <w:adjustRightInd w:val="0"/>
        <w:spacing w:after="0" w:line="240" w:lineRule="auto"/>
        <w:rPr>
          <w:rFonts w:ascii="Times New Roman CYR" w:hAnsi="Times New Roman CYR" w:cs="Times New Roman CYR"/>
        </w:rPr>
      </w:pPr>
    </w:p>
    <w:p w:rsidR="00F31D3B" w:rsidRDefault="00F31D3B">
      <w:pPr>
        <w:widowControl w:val="0"/>
        <w:autoSpaceDE w:val="0"/>
        <w:autoSpaceDN w:val="0"/>
        <w:adjustRightInd w:val="0"/>
        <w:spacing w:after="0" w:line="240" w:lineRule="auto"/>
        <w:rPr>
          <w:rFonts w:ascii="Times New Roman CYR" w:hAnsi="Times New Roman CYR" w:cs="Times New Roman CYR"/>
        </w:rPr>
        <w:sectPr w:rsidR="00F31D3B">
          <w:pgSz w:w="12240" w:h="15840"/>
          <w:pgMar w:top="850" w:right="850" w:bottom="850" w:left="1400" w:header="708" w:footer="708" w:gutter="0"/>
          <w:cols w:space="720"/>
          <w:noEndnote/>
        </w:sect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4"/>
          <w:szCs w:val="24"/>
        </w:rPr>
      </w:pPr>
      <w:r>
        <w:rPr>
          <w:rFonts w:ascii="Times New Roman CYR" w:hAnsi="Times New Roman CYR" w:cs="Times New Roman CYR"/>
          <w:b/>
          <w:bCs/>
          <w:sz w:val="24"/>
          <w:szCs w:val="24"/>
        </w:rPr>
        <w:lastRenderedPageBreak/>
        <w:t>2. Звіт про фінансові результати</w:t>
      </w:r>
    </w:p>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2022 рік</w:t>
      </w:r>
    </w:p>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Форма №2-м</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tblPr>
      <w:tblGrid>
        <w:gridCol w:w="5850"/>
        <w:gridCol w:w="776"/>
        <w:gridCol w:w="874"/>
        <w:gridCol w:w="855"/>
        <w:gridCol w:w="645"/>
        <w:gridCol w:w="1000"/>
      </w:tblGrid>
      <w:tr w:rsidR="00F31D3B">
        <w:tblPrEx>
          <w:tblCellMar>
            <w:top w:w="0" w:type="dxa"/>
            <w:bottom w:w="0" w:type="dxa"/>
          </w:tblCellMar>
        </w:tblPrEx>
        <w:trPr>
          <w:gridBefore w:val="3"/>
          <w:wBefore w:w="7500" w:type="dxa"/>
          <w:trHeight w:val="280"/>
        </w:trPr>
        <w:tc>
          <w:tcPr>
            <w:tcW w:w="1500" w:type="dxa"/>
            <w:gridSpan w:val="2"/>
            <w:tcBorders>
              <w:top w:val="nil"/>
              <w:left w:val="nil"/>
              <w:bottom w:val="nil"/>
              <w:right w:val="single" w:sz="6" w:space="0" w:color="auto"/>
            </w:tcBorders>
            <w:vAlign w:val="center"/>
          </w:tcPr>
          <w:p w:rsidR="00F31D3B" w:rsidRDefault="00F31D3B">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Код за ДКУД</w:t>
            </w:r>
          </w:p>
        </w:tc>
        <w:tc>
          <w:tcPr>
            <w:tcW w:w="1000" w:type="dxa"/>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right"/>
              <w:rPr>
                <w:rFonts w:ascii="Times New Roman CYR" w:hAnsi="Times New Roman CYR" w:cs="Times New Roman CYR"/>
              </w:rPr>
            </w:pPr>
            <w:r>
              <w:rPr>
                <w:rFonts w:ascii="Times New Roman CYR" w:hAnsi="Times New Roman CYR" w:cs="Times New Roman CYR"/>
              </w:rPr>
              <w:t>1801007</w:t>
            </w:r>
          </w:p>
        </w:tc>
      </w:tr>
      <w:tr w:rsidR="00F31D3B">
        <w:tblPrEx>
          <w:tblCellMar>
            <w:top w:w="0" w:type="dxa"/>
            <w:bottom w:w="0" w:type="dxa"/>
          </w:tblCellMar>
        </w:tblPrEx>
        <w:trPr>
          <w:trHeight w:val="530"/>
        </w:trPr>
        <w:tc>
          <w:tcPr>
            <w:tcW w:w="5850" w:type="dxa"/>
            <w:tcBorders>
              <w:top w:val="single" w:sz="6" w:space="0" w:color="auto"/>
              <w:bottom w:val="single" w:sz="6" w:space="0" w:color="auto"/>
              <w:right w:val="single" w:sz="6" w:space="0" w:color="auto"/>
            </w:tcBorders>
            <w:shd w:val="clear" w:color="auto" w:fill="E6E6E6"/>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Стаття</w:t>
            </w:r>
          </w:p>
        </w:tc>
        <w:tc>
          <w:tcPr>
            <w:tcW w:w="776" w:type="dxa"/>
            <w:tcBorders>
              <w:top w:val="single" w:sz="6" w:space="0" w:color="auto"/>
              <w:left w:val="single" w:sz="6" w:space="0" w:color="auto"/>
              <w:bottom w:val="single" w:sz="6" w:space="0" w:color="auto"/>
              <w:right w:val="single" w:sz="6" w:space="0" w:color="auto"/>
            </w:tcBorders>
            <w:shd w:val="clear" w:color="auto" w:fill="E6E6E6"/>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Код рядка</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звітний період</w:t>
            </w:r>
          </w:p>
        </w:tc>
        <w:tc>
          <w:tcPr>
            <w:tcW w:w="1645" w:type="dxa"/>
            <w:gridSpan w:val="2"/>
            <w:tcBorders>
              <w:top w:val="single" w:sz="6" w:space="0" w:color="auto"/>
              <w:left w:val="single" w:sz="6" w:space="0" w:color="auto"/>
              <w:bottom w:val="single" w:sz="6" w:space="0" w:color="auto"/>
            </w:tcBorders>
            <w:shd w:val="clear" w:color="auto" w:fill="E6E6E6"/>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За аналогічний період попереднього року</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shd w:val="clear" w:color="auto" w:fill="E6E6E6"/>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w:t>
            </w:r>
          </w:p>
        </w:tc>
        <w:tc>
          <w:tcPr>
            <w:tcW w:w="776" w:type="dxa"/>
            <w:tcBorders>
              <w:top w:val="single" w:sz="6" w:space="0" w:color="auto"/>
              <w:left w:val="single" w:sz="6" w:space="0" w:color="auto"/>
              <w:bottom w:val="single" w:sz="6" w:space="0" w:color="auto"/>
              <w:right w:val="single" w:sz="6" w:space="0" w:color="auto"/>
            </w:tcBorders>
            <w:shd w:val="clear" w:color="auto" w:fill="E6E6E6"/>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w:t>
            </w:r>
          </w:p>
        </w:tc>
        <w:tc>
          <w:tcPr>
            <w:tcW w:w="1729" w:type="dxa"/>
            <w:gridSpan w:val="2"/>
            <w:tcBorders>
              <w:top w:val="single" w:sz="6" w:space="0" w:color="auto"/>
              <w:left w:val="single" w:sz="6" w:space="0" w:color="auto"/>
              <w:bottom w:val="single" w:sz="6" w:space="0" w:color="auto"/>
              <w:right w:val="single" w:sz="6" w:space="0" w:color="auto"/>
            </w:tcBorders>
            <w:shd w:val="clear" w:color="auto" w:fill="E6E6E6"/>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w:t>
            </w:r>
          </w:p>
        </w:tc>
        <w:tc>
          <w:tcPr>
            <w:tcW w:w="1645" w:type="dxa"/>
            <w:gridSpan w:val="2"/>
            <w:tcBorders>
              <w:top w:val="single" w:sz="6" w:space="0" w:color="auto"/>
              <w:left w:val="single" w:sz="6" w:space="0" w:color="auto"/>
              <w:bottom w:val="single" w:sz="6" w:space="0" w:color="auto"/>
            </w:tcBorders>
            <w:shd w:val="clear" w:color="auto" w:fill="E6E6E6"/>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Чистий дохід від реалізації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13065,2</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11482,9</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2120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59,5</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доходи</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2240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доходи </w:t>
            </w:r>
            <w:r>
              <w:rPr>
                <w:rFonts w:ascii="Times New Roman CYR" w:hAnsi="Times New Roman CYR" w:cs="Times New Roman CYR"/>
              </w:rPr>
              <w:t>(2000 + 2120 + 2240)</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13065,2</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11542,4</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Собівартість реалізованої продукції (товарів, робіт, послуг)</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2050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(10783,9)</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(9590)</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операційні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2180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(1390,6)</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(1532,8)</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Інші витрати</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2270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(698,1)</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(403,2)</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Разом витрати </w:t>
            </w:r>
            <w:r>
              <w:rPr>
                <w:rFonts w:ascii="Times New Roman CYR" w:hAnsi="Times New Roman CYR" w:cs="Times New Roman CYR"/>
              </w:rPr>
              <w:t>(2050 + 2180 + 2270)</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2285</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(12872,6)</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(11526)</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Фінансовий результат до оподаткування (2280 - 2285)</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2290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192,6</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16,4</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rPr>
              <w:t>Податок на прибуток</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2300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(34,7)</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(2,9)</w:t>
            </w:r>
          </w:p>
        </w:tc>
      </w:tr>
      <w:tr w:rsidR="00F31D3B">
        <w:tblPrEx>
          <w:tblCellMar>
            <w:top w:w="0" w:type="dxa"/>
            <w:bottom w:w="0" w:type="dxa"/>
          </w:tblCellMar>
        </w:tblPrEx>
        <w:trPr>
          <w:trHeight w:val="200"/>
        </w:trPr>
        <w:tc>
          <w:tcPr>
            <w:tcW w:w="5850" w:type="dxa"/>
            <w:tcBorders>
              <w:top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rPr>
                <w:rFonts w:ascii="Times New Roman CYR" w:hAnsi="Times New Roman CYR" w:cs="Times New Roman CYR"/>
              </w:rPr>
            </w:pPr>
            <w:r>
              <w:rPr>
                <w:rFonts w:ascii="Times New Roman CYR" w:hAnsi="Times New Roman CYR" w:cs="Times New Roman CYR"/>
                <w:b/>
                <w:bCs/>
              </w:rPr>
              <w:t xml:space="preserve">Чистий прибуток (збиток) </w:t>
            </w:r>
            <w:r>
              <w:rPr>
                <w:rFonts w:ascii="Times New Roman CYR" w:hAnsi="Times New Roman CYR" w:cs="Times New Roman CYR"/>
              </w:rPr>
              <w:t>(2290 - 2300)</w:t>
            </w:r>
          </w:p>
        </w:tc>
        <w:tc>
          <w:tcPr>
            <w:tcW w:w="776" w:type="dxa"/>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2350</w:t>
            </w:r>
          </w:p>
        </w:tc>
        <w:tc>
          <w:tcPr>
            <w:tcW w:w="1729" w:type="dxa"/>
            <w:gridSpan w:val="2"/>
            <w:tcBorders>
              <w:top w:val="single" w:sz="6" w:space="0" w:color="auto"/>
              <w:left w:val="single" w:sz="6" w:space="0" w:color="auto"/>
              <w:bottom w:val="single" w:sz="6" w:space="0" w:color="auto"/>
              <w:right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157,9</w:t>
            </w:r>
          </w:p>
        </w:tc>
        <w:tc>
          <w:tcPr>
            <w:tcW w:w="1645" w:type="dxa"/>
            <w:gridSpan w:val="2"/>
            <w:tcBorders>
              <w:top w:val="single" w:sz="6" w:space="0" w:color="auto"/>
              <w:left w:val="single" w:sz="6" w:space="0" w:color="auto"/>
              <w:bottom w:val="single" w:sz="6" w:space="0" w:color="auto"/>
            </w:tcBorders>
            <w:vAlign w:val="center"/>
          </w:tcPr>
          <w:p w:rsidR="00F31D3B" w:rsidRDefault="00F31D3B">
            <w:pPr>
              <w:widowControl w:val="0"/>
              <w:autoSpaceDE w:val="0"/>
              <w:autoSpaceDN w:val="0"/>
              <w:adjustRightInd w:val="0"/>
              <w:spacing w:after="0" w:line="240" w:lineRule="auto"/>
              <w:jc w:val="center"/>
              <w:rPr>
                <w:rFonts w:ascii="Times New Roman CYR" w:hAnsi="Times New Roman CYR" w:cs="Times New Roman CYR"/>
              </w:rPr>
            </w:pPr>
            <w:r>
              <w:rPr>
                <w:rFonts w:ascii="Times New Roman CYR" w:hAnsi="Times New Roman CYR" w:cs="Times New Roman CYR"/>
              </w:rPr>
              <w:t>13,5</w:t>
            </w:r>
          </w:p>
        </w:tc>
      </w:tr>
    </w:tbl>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Примітки: -</w:t>
      </w: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Керівник</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Антоняк Володимир Михайлович</w:t>
      </w: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rPr>
      </w:pPr>
      <w:r>
        <w:rPr>
          <w:rFonts w:ascii="Times New Roman CYR" w:hAnsi="Times New Roman CYR" w:cs="Times New Roman CYR"/>
        </w:rPr>
        <w:t>Головний бухгалтер</w:t>
      </w:r>
      <w:r>
        <w:rPr>
          <w:rFonts w:ascii="Times New Roman CYR" w:hAnsi="Times New Roman CYR" w:cs="Times New Roman CYR"/>
        </w:rPr>
        <w:tab/>
      </w:r>
      <w:r>
        <w:rPr>
          <w:rFonts w:ascii="Times New Roman CYR" w:hAnsi="Times New Roman CYR" w:cs="Times New Roman CYR"/>
        </w:rPr>
        <w:tab/>
      </w:r>
      <w:r>
        <w:rPr>
          <w:rFonts w:ascii="Times New Roman CYR" w:hAnsi="Times New Roman CYR" w:cs="Times New Roman CYR"/>
        </w:rPr>
        <w:tab/>
        <w:t>Максимчук Лариса Володимирiвна</w:t>
      </w:r>
    </w:p>
    <w:p w:rsidR="00F31D3B" w:rsidRDefault="00F31D3B">
      <w:pPr>
        <w:widowControl w:val="0"/>
        <w:autoSpaceDE w:val="0"/>
        <w:autoSpaceDN w:val="0"/>
        <w:adjustRightInd w:val="0"/>
        <w:spacing w:after="0" w:line="240" w:lineRule="auto"/>
        <w:jc w:val="both"/>
        <w:rPr>
          <w:rFonts w:ascii="Times New Roman CYR" w:hAnsi="Times New Roman CYR" w:cs="Times New Roman CYR"/>
        </w:rPr>
        <w:sectPr w:rsidR="00F31D3B">
          <w:pgSz w:w="12240" w:h="15840"/>
          <w:pgMar w:top="850" w:right="850" w:bottom="850" w:left="1400" w:header="708" w:footer="708" w:gutter="0"/>
          <w:cols w:space="720"/>
          <w:noEndnote/>
        </w:sectPr>
      </w:pPr>
    </w:p>
    <w:p w:rsidR="00F31D3B" w:rsidRDefault="00F31D3B">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lastRenderedPageBreak/>
        <w:t>XVI. Твердження щодо річної інформації</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r>
        <w:rPr>
          <w:rFonts w:ascii="Times New Roman CYR" w:hAnsi="Times New Roman CYR" w:cs="Times New Roman CYR"/>
          <w:sz w:val="24"/>
          <w:szCs w:val="24"/>
        </w:rPr>
        <w:t>Рiчна iнформацiя, пiдготовлена вiдповiдно до стандартiв бухгалтерського облiку, що вимагаються згiдно iз Законом України "Про бухгалтерський облiк та фiнансову звiтнiсть в Українi", мiстить достовiрне та об'єктивне подання iнформацiї про стан активiв, пасивiв, фiнансовий стан, прибутки та збитки емiтента а звiт керiвництва включає достовiрне та об'єктивне подання iнформацiї про розвиток i здiйснення господарської дiяльностi разом з описом основних ризикiв та невизначеностей, з якими вони стикаються у своїй господарськiй дiяльностi. Посилаючись на основнi фактори дiяльностi Товариства, а саме: -Товариство не здiйснило публiчну пропозицiю акцiй, акцiї не допущенi до торгiв на фондовiй бiржi в частинi включення до бiржового реєстру. Рiчний звiт Емiтента цiнних паперiв подається пiсля  затвердження наглядовою радою.</w:t>
      </w: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jc w:val="both"/>
        <w:rPr>
          <w:rFonts w:ascii="Times New Roman CYR" w:hAnsi="Times New Roman CYR" w:cs="Times New Roman CYR"/>
          <w:sz w:val="24"/>
          <w:szCs w:val="24"/>
        </w:rPr>
      </w:pPr>
    </w:p>
    <w:p w:rsidR="00F31D3B" w:rsidRDefault="00F31D3B">
      <w:pPr>
        <w:widowControl w:val="0"/>
        <w:autoSpaceDE w:val="0"/>
        <w:autoSpaceDN w:val="0"/>
        <w:adjustRightInd w:val="0"/>
        <w:spacing w:after="0" w:line="240" w:lineRule="auto"/>
        <w:rPr>
          <w:rFonts w:ascii="Times New Roman CYR" w:hAnsi="Times New Roman CYR" w:cs="Times New Roman CYR"/>
          <w:sz w:val="24"/>
          <w:szCs w:val="24"/>
        </w:rPr>
      </w:pPr>
    </w:p>
    <w:sectPr w:rsidR="00F31D3B">
      <w:pgSz w:w="12240" w:h="15840"/>
      <w:pgMar w:top="850" w:right="850" w:bottom="850" w:left="1400" w:header="708" w:footer="708" w:gutter="0"/>
      <w:cols w:space="720"/>
      <w:noEndnote/>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
  <w:rsids>
    <w:rsidRoot w:val="00B60A77"/>
    <w:rsid w:val="001222FE"/>
    <w:rsid w:val="00532A1C"/>
    <w:rsid w:val="00B60A77"/>
    <w:rsid w:val="00BE5993"/>
    <w:rsid w:val="00F31D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47</Pages>
  <Words>14518</Words>
  <Characters>82755</Characters>
  <Application>Microsoft Office Word</Application>
  <DocSecurity>0</DocSecurity>
  <Lines>689</Lines>
  <Paragraphs>194</Paragraphs>
  <ScaleCrop>false</ScaleCrop>
  <Company>Grizli777</Company>
  <LinksUpToDate>false</LinksUpToDate>
  <CharactersWithSpaces>97079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Marty</dc:creator>
  <cp:lastModifiedBy>Admin</cp:lastModifiedBy>
  <cp:revision>2</cp:revision>
  <dcterms:created xsi:type="dcterms:W3CDTF">2023-12-21T13:39:00Z</dcterms:created>
  <dcterms:modified xsi:type="dcterms:W3CDTF">2023-12-21T13:39:00Z</dcterms:modified>
</cp:coreProperties>
</file>